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539A" w14:textId="77777777" w:rsidR="00AA5029" w:rsidRPr="00AA5029" w:rsidRDefault="00AA5029" w:rsidP="00AA5029">
      <w:pPr>
        <w:pStyle w:val="Heading1"/>
        <w:spacing w:before="0"/>
        <w:rPr>
          <w:sz w:val="44"/>
          <w:szCs w:val="44"/>
        </w:rPr>
      </w:pPr>
      <w:r w:rsidRPr="00AA5029">
        <w:rPr>
          <w:sz w:val="44"/>
          <w:szCs w:val="44"/>
        </w:rPr>
        <w:t>MHRT Service Order Clause Code Summary</w:t>
      </w:r>
    </w:p>
    <w:tbl>
      <w:tblPr>
        <w:tblW w:w="9889" w:type="dxa"/>
        <w:tblCellMar>
          <w:top w:w="113" w:type="dxa"/>
          <w:left w:w="113" w:type="dxa"/>
          <w:bottom w:w="113" w:type="dxa"/>
          <w:right w:w="113" w:type="dxa"/>
        </w:tblCellMar>
        <w:tblLook w:val="04A0" w:firstRow="1" w:lastRow="0" w:firstColumn="1" w:lastColumn="0" w:noHBand="0" w:noVBand="1"/>
      </w:tblPr>
      <w:tblGrid>
        <w:gridCol w:w="4598"/>
        <w:gridCol w:w="805"/>
        <w:gridCol w:w="4486"/>
      </w:tblGrid>
      <w:tr w:rsidR="00AA5029" w:rsidRPr="00AA5029" w14:paraId="63176112" w14:textId="77777777" w:rsidTr="00693544">
        <w:tc>
          <w:tcPr>
            <w:tcW w:w="4598" w:type="dxa"/>
            <w:tcBorders>
              <w:top w:val="single" w:sz="8" w:space="0" w:color="auto"/>
              <w:left w:val="single" w:sz="8" w:space="0" w:color="auto"/>
              <w:bottom w:val="single" w:sz="8" w:space="0" w:color="auto"/>
              <w:right w:val="single" w:sz="8" w:space="0" w:color="auto"/>
            </w:tcBorders>
            <w:shd w:val="clear" w:color="auto" w:fill="005288" w:themeFill="text2"/>
            <w:tcMar>
              <w:top w:w="0" w:type="dxa"/>
              <w:left w:w="108" w:type="dxa"/>
              <w:bottom w:w="0" w:type="dxa"/>
              <w:right w:w="108" w:type="dxa"/>
            </w:tcMar>
            <w:vAlign w:val="bottom"/>
            <w:hideMark/>
          </w:tcPr>
          <w:p w14:paraId="0393E07B" w14:textId="77777777" w:rsidR="00AA5029" w:rsidRPr="00693544" w:rsidRDefault="00AA5029" w:rsidP="00693544">
            <w:pPr>
              <w:pStyle w:val="LAQTabletext"/>
              <w:rPr>
                <w:b/>
                <w:bCs/>
                <w:color w:val="FFFFFF" w:themeColor="background1"/>
                <w:sz w:val="24"/>
                <w:szCs w:val="24"/>
              </w:rPr>
            </w:pPr>
            <w:bookmarkStart w:id="0" w:name="_Toc404697415"/>
            <w:r w:rsidRPr="00693544">
              <w:rPr>
                <w:b/>
                <w:bCs/>
                <w:color w:val="FFFFFF" w:themeColor="background1"/>
                <w:sz w:val="24"/>
                <w:szCs w:val="24"/>
              </w:rPr>
              <w:t xml:space="preserve">Service Order </w:t>
            </w:r>
          </w:p>
        </w:tc>
        <w:tc>
          <w:tcPr>
            <w:tcW w:w="805" w:type="dxa"/>
            <w:tcBorders>
              <w:top w:val="single" w:sz="8" w:space="0" w:color="auto"/>
              <w:left w:val="nil"/>
              <w:bottom w:val="single" w:sz="8" w:space="0" w:color="auto"/>
              <w:right w:val="single" w:sz="8" w:space="0" w:color="auto"/>
            </w:tcBorders>
            <w:shd w:val="clear" w:color="auto" w:fill="005288" w:themeFill="text2"/>
            <w:tcMar>
              <w:top w:w="0" w:type="dxa"/>
              <w:left w:w="108" w:type="dxa"/>
              <w:bottom w:w="0" w:type="dxa"/>
              <w:right w:w="108" w:type="dxa"/>
            </w:tcMar>
            <w:hideMark/>
          </w:tcPr>
          <w:p w14:paraId="5B178EF9" w14:textId="77777777" w:rsidR="00AA5029" w:rsidRPr="00693544" w:rsidRDefault="00AA5029" w:rsidP="00693544">
            <w:pPr>
              <w:pStyle w:val="LAQTabletext"/>
              <w:jc w:val="center"/>
              <w:rPr>
                <w:b/>
                <w:bCs/>
                <w:color w:val="FFFFFF" w:themeColor="background1"/>
                <w:sz w:val="16"/>
                <w:szCs w:val="16"/>
              </w:rPr>
            </w:pPr>
            <w:r w:rsidRPr="00693544">
              <w:rPr>
                <w:b/>
                <w:bCs/>
                <w:color w:val="FFFFFF" w:themeColor="background1"/>
                <w:sz w:val="16"/>
                <w:szCs w:val="16"/>
              </w:rPr>
              <w:t>Clause Code</w:t>
            </w:r>
          </w:p>
        </w:tc>
        <w:tc>
          <w:tcPr>
            <w:tcW w:w="4486" w:type="dxa"/>
            <w:tcBorders>
              <w:top w:val="single" w:sz="8" w:space="0" w:color="auto"/>
              <w:left w:val="nil"/>
              <w:bottom w:val="single" w:sz="8" w:space="0" w:color="auto"/>
              <w:right w:val="single" w:sz="8" w:space="0" w:color="auto"/>
            </w:tcBorders>
            <w:shd w:val="clear" w:color="auto" w:fill="005288" w:themeFill="text2"/>
            <w:tcMar>
              <w:top w:w="0" w:type="dxa"/>
              <w:left w:w="108" w:type="dxa"/>
              <w:bottom w:w="0" w:type="dxa"/>
              <w:right w:w="108" w:type="dxa"/>
            </w:tcMar>
            <w:vAlign w:val="bottom"/>
          </w:tcPr>
          <w:p w14:paraId="4901BF5E" w14:textId="1E2471AE" w:rsidR="00AA5029" w:rsidRPr="00693544" w:rsidRDefault="00AA5029" w:rsidP="00693544">
            <w:pPr>
              <w:pStyle w:val="LAQTabletext"/>
              <w:rPr>
                <w:b/>
                <w:bCs/>
                <w:color w:val="FFFFFF" w:themeColor="background1"/>
                <w:sz w:val="24"/>
                <w:szCs w:val="24"/>
              </w:rPr>
            </w:pPr>
            <w:r w:rsidRPr="00693544">
              <w:rPr>
                <w:b/>
                <w:bCs/>
                <w:color w:val="FFFFFF" w:themeColor="background1"/>
                <w:sz w:val="24"/>
                <w:szCs w:val="24"/>
              </w:rPr>
              <w:t>Fee</w:t>
            </w:r>
          </w:p>
        </w:tc>
      </w:tr>
      <w:tr w:rsidR="00AA5029" w:rsidRPr="00AA5029" w14:paraId="69F18774" w14:textId="77777777" w:rsidTr="00693544">
        <w:tc>
          <w:tcPr>
            <w:tcW w:w="4598" w:type="dxa"/>
            <w:tcBorders>
              <w:top w:val="nil"/>
              <w:left w:val="single" w:sz="8" w:space="0" w:color="auto"/>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12F3ED46" w14:textId="77777777" w:rsidR="00AA5029" w:rsidRPr="00AA5029" w:rsidRDefault="00AA5029" w:rsidP="00AA5029">
            <w:pPr>
              <w:pStyle w:val="Heading3"/>
              <w:spacing w:before="120" w:after="120"/>
            </w:pPr>
            <w:r w:rsidRPr="00AA5029">
              <w:t xml:space="preserve">Initial Service Order for: </w:t>
            </w:r>
          </w:p>
          <w:p w14:paraId="32E241F7" w14:textId="77777777" w:rsidR="00AA5029" w:rsidRPr="00AA5029" w:rsidRDefault="00AA5029" w:rsidP="00AA5029">
            <w:pPr>
              <w:pStyle w:val="LAQTabletext"/>
              <w:numPr>
                <w:ilvl w:val="0"/>
                <w:numId w:val="13"/>
              </w:numPr>
            </w:pPr>
            <w:r w:rsidRPr="00AA5029">
              <w:t>Forensic Order Review</w:t>
            </w:r>
          </w:p>
          <w:p w14:paraId="2D0968AA" w14:textId="77777777" w:rsidR="00AA5029" w:rsidRPr="00AA5029" w:rsidRDefault="00AA5029" w:rsidP="00AA5029">
            <w:pPr>
              <w:pStyle w:val="LAQTabletext"/>
              <w:numPr>
                <w:ilvl w:val="0"/>
                <w:numId w:val="13"/>
              </w:numPr>
            </w:pPr>
            <w:r w:rsidRPr="00AA5029">
              <w:t>Fitness for Trial Review</w:t>
            </w:r>
          </w:p>
          <w:p w14:paraId="5D01039E" w14:textId="77777777" w:rsidR="00AA5029" w:rsidRPr="00AA5029" w:rsidRDefault="00AA5029" w:rsidP="00AA5029">
            <w:pPr>
              <w:pStyle w:val="LAQTabletext"/>
              <w:numPr>
                <w:ilvl w:val="0"/>
                <w:numId w:val="13"/>
              </w:numPr>
            </w:pPr>
            <w:r w:rsidRPr="00AA5029">
              <w:t>Treatments Support Order Review</w:t>
            </w:r>
          </w:p>
          <w:p w14:paraId="0AF4B7A4" w14:textId="77777777" w:rsidR="00AA5029" w:rsidRPr="00AA5029" w:rsidRDefault="00AA5029" w:rsidP="00AA5029">
            <w:pPr>
              <w:pStyle w:val="LAQTabletext"/>
              <w:numPr>
                <w:ilvl w:val="0"/>
                <w:numId w:val="13"/>
              </w:numPr>
            </w:pPr>
            <w:r w:rsidRPr="00AA5029">
              <w:t>Treatment Authority Review</w:t>
            </w:r>
          </w:p>
          <w:p w14:paraId="6935CFFD" w14:textId="77777777" w:rsidR="00AA5029" w:rsidRPr="00AA5029" w:rsidRDefault="00AA5029" w:rsidP="00AA5029">
            <w:pPr>
              <w:pStyle w:val="LAQTabletext"/>
              <w:numPr>
                <w:ilvl w:val="0"/>
                <w:numId w:val="13"/>
              </w:numPr>
            </w:pPr>
            <w:r w:rsidRPr="00AA5029">
              <w:t xml:space="preserve">ECT application </w:t>
            </w:r>
          </w:p>
          <w:p w14:paraId="50790CB4" w14:textId="77777777" w:rsidR="00AA5029" w:rsidRPr="00AA5029" w:rsidRDefault="00AA5029" w:rsidP="00AA5029">
            <w:pPr>
              <w:pStyle w:val="LAQTabletext"/>
              <w:numPr>
                <w:ilvl w:val="0"/>
                <w:numId w:val="13"/>
              </w:numPr>
            </w:pPr>
            <w:r w:rsidRPr="00AA5029">
              <w:t>Interstate Transfer Application</w:t>
            </w:r>
          </w:p>
          <w:p w14:paraId="62D13B96" w14:textId="5CC84AEA" w:rsidR="00AA5029" w:rsidRPr="00AA5029" w:rsidRDefault="00AA5029" w:rsidP="00AA5029">
            <w:pPr>
              <w:pStyle w:val="LAQTabletext"/>
              <w:numPr>
                <w:ilvl w:val="0"/>
                <w:numId w:val="13"/>
              </w:numPr>
            </w:pPr>
            <w:r w:rsidRPr="00AA5029">
              <w:t>Minor High Security Review</w:t>
            </w:r>
          </w:p>
          <w:p w14:paraId="4C738090" w14:textId="7729DD80" w:rsidR="00AA5029" w:rsidRPr="00AA5029" w:rsidRDefault="00AA5029" w:rsidP="00AA5029">
            <w:pPr>
              <w:pStyle w:val="LAQTabletext"/>
              <w:rPr>
                <w:sz w:val="13"/>
                <w:szCs w:val="13"/>
              </w:rPr>
            </w:pPr>
            <w:r w:rsidRPr="00AA5029">
              <w:rPr>
                <w:sz w:val="13"/>
                <w:szCs w:val="13"/>
              </w:rPr>
              <w:t>Note: Where hearings are held concurrently for a client, e.g. a fitness for trial review and a forensic order review, only representation for one hearing is claimable.</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0617F858" w14:textId="77777777" w:rsidR="00AA5029" w:rsidRPr="00693544" w:rsidRDefault="00AA5029" w:rsidP="00693544">
            <w:pPr>
              <w:pStyle w:val="LAQTabletext"/>
              <w:jc w:val="center"/>
              <w:rPr>
                <w:b/>
                <w:bCs/>
              </w:rPr>
            </w:pPr>
            <w:r w:rsidRPr="00693544">
              <w:rPr>
                <w:b/>
                <w:bCs/>
              </w:rPr>
              <w:t>MHT1</w:t>
            </w:r>
          </w:p>
        </w:tc>
        <w:tc>
          <w:tcPr>
            <w:tcW w:w="4486" w:type="dxa"/>
            <w:tcBorders>
              <w:top w:val="nil"/>
              <w:left w:val="nil"/>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50F295A0" w14:textId="06B9AC8F" w:rsidR="00AA5029" w:rsidRPr="00AA5029" w:rsidRDefault="00AA5029" w:rsidP="00AA5029">
            <w:pPr>
              <w:pStyle w:val="LAQTabletext"/>
            </w:pPr>
            <w:r w:rsidRPr="00AA5029">
              <w:t xml:space="preserve">Total $980, comprised of 3 Modules: </w:t>
            </w:r>
          </w:p>
          <w:p w14:paraId="4081D7B9" w14:textId="6E0A2743" w:rsidR="00AA5029" w:rsidRPr="00AA5029" w:rsidRDefault="00AA5029" w:rsidP="00AA5029">
            <w:pPr>
              <w:pStyle w:val="LAQTabletext"/>
              <w:numPr>
                <w:ilvl w:val="0"/>
                <w:numId w:val="12"/>
              </w:numPr>
              <w:ind w:left="466"/>
            </w:pPr>
            <w:r w:rsidRPr="00AA5029">
              <w:rPr>
                <w:b/>
                <w:bCs/>
              </w:rPr>
              <w:t>Module A</w:t>
            </w:r>
            <w:r w:rsidRPr="00AA5029">
              <w:t xml:space="preserve"> (Preparation) </w:t>
            </w:r>
            <w:r>
              <w:br/>
            </w:r>
            <w:r w:rsidRPr="00AA5029">
              <w:t>– 3  hours @ $140/hr = $420  </w:t>
            </w:r>
          </w:p>
          <w:p w14:paraId="66F20F0F" w14:textId="1691280F" w:rsidR="00AA5029" w:rsidRPr="00AA5029" w:rsidRDefault="00AA5029" w:rsidP="00AA5029">
            <w:pPr>
              <w:pStyle w:val="LAQTabletext"/>
              <w:numPr>
                <w:ilvl w:val="0"/>
                <w:numId w:val="12"/>
              </w:numPr>
              <w:ind w:left="466"/>
            </w:pPr>
            <w:r w:rsidRPr="00AA5029">
              <w:rPr>
                <w:b/>
                <w:bCs/>
              </w:rPr>
              <w:t>Module B</w:t>
            </w:r>
            <w:r w:rsidRPr="00AA5029">
              <w:t xml:space="preserve"> (Conferencing/Client consultation) </w:t>
            </w:r>
            <w:r>
              <w:br/>
            </w:r>
            <w:r w:rsidRPr="00AA5029">
              <w:t>– 2 hours @ $140/hr = $280</w:t>
            </w:r>
          </w:p>
          <w:p w14:paraId="6F389D25" w14:textId="59BA7E85" w:rsidR="00AA5029" w:rsidRPr="00AA5029" w:rsidRDefault="00AA5029" w:rsidP="00AA5029">
            <w:pPr>
              <w:pStyle w:val="LAQTabletext"/>
              <w:numPr>
                <w:ilvl w:val="0"/>
                <w:numId w:val="12"/>
              </w:numPr>
              <w:ind w:left="466"/>
            </w:pPr>
            <w:r w:rsidRPr="00AA5029">
              <w:rPr>
                <w:b/>
                <w:bCs/>
              </w:rPr>
              <w:t>Module C</w:t>
            </w:r>
            <w:r w:rsidRPr="00AA5029">
              <w:t xml:space="preserve"> (Representation) </w:t>
            </w:r>
            <w:r>
              <w:br/>
            </w:r>
            <w:r w:rsidRPr="00AA5029">
              <w:t>– 2 hours @ $140/hr - $280</w:t>
            </w:r>
          </w:p>
        </w:tc>
      </w:tr>
      <w:tr w:rsidR="00AA5029" w:rsidRPr="00AA5029" w14:paraId="28BFAE84" w14:textId="77777777" w:rsidTr="00693544">
        <w:tc>
          <w:tcPr>
            <w:tcW w:w="4598" w:type="dxa"/>
            <w:tcBorders>
              <w:top w:val="nil"/>
              <w:left w:val="single" w:sz="8" w:space="0" w:color="auto"/>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7C6AF291" w14:textId="77777777" w:rsidR="00AA5029" w:rsidRDefault="00AA5029" w:rsidP="00693544">
            <w:pPr>
              <w:pStyle w:val="Heading3"/>
              <w:spacing w:before="120" w:after="120"/>
            </w:pPr>
            <w:r w:rsidRPr="00AA5029">
              <w:t xml:space="preserve">Extension Service Order </w:t>
            </w:r>
          </w:p>
          <w:p w14:paraId="2EF5268A" w14:textId="6DB9652A" w:rsidR="00AA5029" w:rsidRPr="00693544" w:rsidRDefault="00AA5029" w:rsidP="00AA5029">
            <w:pPr>
              <w:pStyle w:val="LAQTabletext"/>
              <w:rPr>
                <w:color w:val="005288" w:themeColor="text2"/>
              </w:rPr>
            </w:pPr>
            <w:r w:rsidRPr="00693544">
              <w:rPr>
                <w:color w:val="005288" w:themeColor="text2"/>
              </w:rPr>
              <w:t>Module A: Preparation (additional)</w:t>
            </w:r>
          </w:p>
          <w:p w14:paraId="253B0B68" w14:textId="0796E00A" w:rsidR="00AA5029" w:rsidRPr="00AA5029" w:rsidRDefault="00AA5029" w:rsidP="00AA5029">
            <w:pPr>
              <w:pStyle w:val="LAQTabletext"/>
              <w:rPr>
                <w:i/>
                <w:iCs/>
                <w:sz w:val="16"/>
                <w:szCs w:val="16"/>
              </w:rPr>
            </w:pPr>
            <w:r w:rsidRPr="00AA5029">
              <w:rPr>
                <w:b/>
                <w:bCs/>
                <w:i/>
                <w:iCs/>
                <w:sz w:val="16"/>
                <w:szCs w:val="16"/>
              </w:rPr>
              <w:t>Example:</w:t>
            </w:r>
            <w:r w:rsidRPr="00AA5029">
              <w:rPr>
                <w:i/>
                <w:iCs/>
                <w:sz w:val="16"/>
                <w:szCs w:val="16"/>
              </w:rPr>
              <w:t xml:space="preserve"> Additional preparation time may be requested where further material is provided following an adjournment of a hearing.</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65316960" w14:textId="77777777" w:rsidR="00AA5029" w:rsidRPr="00693544" w:rsidRDefault="00AA5029" w:rsidP="00693544">
            <w:pPr>
              <w:pStyle w:val="LAQTabletext"/>
              <w:jc w:val="center"/>
              <w:rPr>
                <w:b/>
                <w:bCs/>
              </w:rPr>
            </w:pPr>
            <w:r w:rsidRPr="00693544">
              <w:rPr>
                <w:b/>
                <w:bCs/>
              </w:rPr>
              <w:t>MHT2</w:t>
            </w:r>
          </w:p>
        </w:tc>
        <w:tc>
          <w:tcPr>
            <w:tcW w:w="4486" w:type="dxa"/>
            <w:tcBorders>
              <w:top w:val="nil"/>
              <w:left w:val="nil"/>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44AFD65E" w14:textId="6294A18F" w:rsidR="00AA5029" w:rsidRPr="00AA5029" w:rsidRDefault="00AA5029" w:rsidP="00AA5029">
            <w:pPr>
              <w:pStyle w:val="LAQTabletext"/>
            </w:pPr>
            <w:r w:rsidRPr="00AA5029">
              <w:t>3 hours, $420</w:t>
            </w:r>
          </w:p>
        </w:tc>
      </w:tr>
      <w:tr w:rsidR="00AA5029" w:rsidRPr="00AA5029" w14:paraId="13E3F120" w14:textId="77777777" w:rsidTr="00693544">
        <w:tc>
          <w:tcPr>
            <w:tcW w:w="4598" w:type="dxa"/>
            <w:tcBorders>
              <w:top w:val="nil"/>
              <w:left w:val="single" w:sz="8" w:space="0" w:color="auto"/>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31B248E7" w14:textId="77777777" w:rsidR="00AA5029" w:rsidRDefault="00AA5029" w:rsidP="00693544">
            <w:pPr>
              <w:pStyle w:val="Heading3"/>
              <w:spacing w:before="120" w:after="120"/>
            </w:pPr>
            <w:r w:rsidRPr="00AA5029">
              <w:t xml:space="preserve">Extension Service Order </w:t>
            </w:r>
          </w:p>
          <w:p w14:paraId="1C77D6C1" w14:textId="4FF629E6" w:rsidR="00AA5029" w:rsidRPr="00693544" w:rsidRDefault="00AA5029" w:rsidP="00AA5029">
            <w:pPr>
              <w:pStyle w:val="LAQTabletext"/>
              <w:rPr>
                <w:color w:val="005288" w:themeColor="text2"/>
              </w:rPr>
            </w:pPr>
            <w:r w:rsidRPr="00693544">
              <w:rPr>
                <w:color w:val="005288" w:themeColor="text2"/>
              </w:rPr>
              <w:t>Module B: Conferencing/Client consultation (additional)</w:t>
            </w:r>
          </w:p>
          <w:p w14:paraId="285808D5" w14:textId="04C3BDC9" w:rsidR="00AA5029" w:rsidRPr="00AA5029" w:rsidRDefault="00AA5029" w:rsidP="00AA5029">
            <w:pPr>
              <w:pStyle w:val="LAQTabletext"/>
              <w:rPr>
                <w:i/>
                <w:iCs/>
                <w:sz w:val="16"/>
                <w:szCs w:val="16"/>
              </w:rPr>
            </w:pPr>
            <w:r w:rsidRPr="00AA5029">
              <w:rPr>
                <w:b/>
                <w:bCs/>
                <w:i/>
                <w:iCs/>
                <w:sz w:val="16"/>
                <w:szCs w:val="16"/>
              </w:rPr>
              <w:t>Example:</w:t>
            </w:r>
            <w:r w:rsidRPr="00AA5029">
              <w:rPr>
                <w:i/>
                <w:iCs/>
                <w:sz w:val="16"/>
                <w:szCs w:val="16"/>
              </w:rPr>
              <w:t xml:space="preserve"> Additional client consultation time may be requested where further material is provided following an adjournment of a hearing.</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5457A892" w14:textId="77777777" w:rsidR="00AA5029" w:rsidRPr="00693544" w:rsidRDefault="00AA5029" w:rsidP="00693544">
            <w:pPr>
              <w:pStyle w:val="LAQTabletext"/>
              <w:jc w:val="center"/>
              <w:rPr>
                <w:b/>
                <w:bCs/>
              </w:rPr>
            </w:pPr>
            <w:r w:rsidRPr="00693544">
              <w:rPr>
                <w:b/>
                <w:bCs/>
              </w:rPr>
              <w:t>MHT3</w:t>
            </w:r>
          </w:p>
        </w:tc>
        <w:tc>
          <w:tcPr>
            <w:tcW w:w="4486" w:type="dxa"/>
            <w:tcBorders>
              <w:top w:val="nil"/>
              <w:left w:val="nil"/>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6948409F" w14:textId="7B06E4B4" w:rsidR="00AA5029" w:rsidRPr="00AA5029" w:rsidRDefault="00AA5029" w:rsidP="00AA5029">
            <w:pPr>
              <w:pStyle w:val="LAQTabletext"/>
            </w:pPr>
            <w:r w:rsidRPr="00AA5029">
              <w:t>2 hours, $280</w:t>
            </w:r>
          </w:p>
        </w:tc>
      </w:tr>
      <w:tr w:rsidR="00AA5029" w:rsidRPr="00AA5029" w14:paraId="010DF32F" w14:textId="77777777" w:rsidTr="00693544">
        <w:tc>
          <w:tcPr>
            <w:tcW w:w="4598" w:type="dxa"/>
            <w:tcBorders>
              <w:top w:val="nil"/>
              <w:left w:val="single" w:sz="8" w:space="0" w:color="auto"/>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490795A8" w14:textId="77777777" w:rsidR="00AA5029" w:rsidRDefault="00AA5029" w:rsidP="00693544">
            <w:pPr>
              <w:pStyle w:val="Heading3"/>
              <w:spacing w:before="120" w:after="120"/>
            </w:pPr>
            <w:r w:rsidRPr="00AA5029">
              <w:t xml:space="preserve">Extension Service Order </w:t>
            </w:r>
          </w:p>
          <w:p w14:paraId="41083DA6" w14:textId="6134FE2B" w:rsidR="00AA5029" w:rsidRPr="00693544" w:rsidRDefault="00AA5029" w:rsidP="00AA5029">
            <w:pPr>
              <w:pStyle w:val="LAQTabletext"/>
              <w:rPr>
                <w:color w:val="005288" w:themeColor="text2"/>
              </w:rPr>
            </w:pPr>
            <w:r w:rsidRPr="00693544">
              <w:rPr>
                <w:color w:val="005288" w:themeColor="text2"/>
              </w:rPr>
              <w:t>Module C: Representation (additional)</w:t>
            </w:r>
          </w:p>
          <w:p w14:paraId="39C9C9C5" w14:textId="68B23BB9" w:rsidR="00AA5029" w:rsidRPr="00AA5029" w:rsidRDefault="00AA5029" w:rsidP="00AA5029">
            <w:pPr>
              <w:pStyle w:val="LAQTabletext"/>
              <w:rPr>
                <w:i/>
                <w:iCs/>
                <w:sz w:val="16"/>
                <w:szCs w:val="16"/>
              </w:rPr>
            </w:pPr>
            <w:r w:rsidRPr="00AA5029">
              <w:rPr>
                <w:b/>
                <w:bCs/>
                <w:i/>
                <w:iCs/>
                <w:sz w:val="16"/>
                <w:szCs w:val="16"/>
              </w:rPr>
              <w:t>Example:</w:t>
            </w:r>
            <w:r w:rsidR="00B41573">
              <w:rPr>
                <w:b/>
                <w:bCs/>
                <w:i/>
                <w:iCs/>
                <w:sz w:val="16"/>
                <w:szCs w:val="16"/>
              </w:rPr>
              <w:t xml:space="preserve"> </w:t>
            </w:r>
            <w:r w:rsidRPr="00AA5029">
              <w:rPr>
                <w:i/>
                <w:iCs/>
                <w:sz w:val="16"/>
                <w:szCs w:val="16"/>
              </w:rPr>
              <w:t>Additional time for representation may be requested for a hearing that occurs following an adjournment.</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0D4E4D55" w14:textId="77777777" w:rsidR="00AA5029" w:rsidRPr="00693544" w:rsidRDefault="00AA5029" w:rsidP="00693544">
            <w:pPr>
              <w:pStyle w:val="LAQTabletext"/>
              <w:jc w:val="center"/>
              <w:rPr>
                <w:b/>
                <w:bCs/>
              </w:rPr>
            </w:pPr>
            <w:r w:rsidRPr="00693544">
              <w:rPr>
                <w:b/>
                <w:bCs/>
              </w:rPr>
              <w:t>MHT4</w:t>
            </w:r>
          </w:p>
        </w:tc>
        <w:tc>
          <w:tcPr>
            <w:tcW w:w="4486" w:type="dxa"/>
            <w:tcBorders>
              <w:top w:val="nil"/>
              <w:left w:val="nil"/>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6D62C434" w14:textId="5280D3F6" w:rsidR="00AA5029" w:rsidRPr="00AA5029" w:rsidRDefault="00AA5029" w:rsidP="00AA5029">
            <w:pPr>
              <w:pStyle w:val="LAQTabletext"/>
            </w:pPr>
            <w:r w:rsidRPr="00AA5029">
              <w:t>2 hours, $280</w:t>
            </w:r>
          </w:p>
        </w:tc>
      </w:tr>
      <w:tr w:rsidR="00AA5029" w:rsidRPr="00AA5029" w14:paraId="4C6E651A" w14:textId="77777777" w:rsidTr="00693544">
        <w:tc>
          <w:tcPr>
            <w:tcW w:w="4598" w:type="dxa"/>
            <w:tcBorders>
              <w:top w:val="nil"/>
              <w:left w:val="single" w:sz="8" w:space="0" w:color="auto"/>
              <w:bottom w:val="single" w:sz="8" w:space="0" w:color="auto"/>
              <w:right w:val="single" w:sz="8" w:space="0" w:color="auto"/>
            </w:tcBorders>
            <w:shd w:val="clear" w:color="auto" w:fill="DCF1F5" w:themeFill="accent2" w:themeFillTint="66"/>
            <w:tcMar>
              <w:top w:w="0" w:type="dxa"/>
              <w:left w:w="108" w:type="dxa"/>
              <w:bottom w:w="0" w:type="dxa"/>
              <w:right w:w="108" w:type="dxa"/>
            </w:tcMar>
            <w:hideMark/>
          </w:tcPr>
          <w:p w14:paraId="0F3701F5" w14:textId="77777777" w:rsidR="00AA5029" w:rsidRPr="00AA5029" w:rsidRDefault="00AA5029" w:rsidP="00AA5029">
            <w:pPr>
              <w:pStyle w:val="Heading3"/>
              <w:spacing w:before="120"/>
            </w:pPr>
            <w:r w:rsidRPr="00AA5029">
              <w:t xml:space="preserve">Travel Time </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4C52CA1A" w14:textId="77777777" w:rsidR="00AA5029" w:rsidRPr="00693544" w:rsidRDefault="00AA5029" w:rsidP="00693544">
            <w:pPr>
              <w:pStyle w:val="LAQTabletext"/>
              <w:jc w:val="center"/>
              <w:rPr>
                <w:b/>
                <w:bCs/>
              </w:rPr>
            </w:pPr>
            <w:r w:rsidRPr="00693544">
              <w:rPr>
                <w:b/>
                <w:bCs/>
              </w:rPr>
              <w:t>TTMH</w:t>
            </w:r>
          </w:p>
        </w:tc>
        <w:tc>
          <w:tcPr>
            <w:tcW w:w="4486" w:type="dxa"/>
            <w:tcBorders>
              <w:top w:val="nil"/>
              <w:left w:val="nil"/>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1F203255" w14:textId="77777777" w:rsidR="00AA5029" w:rsidRPr="00AA5029" w:rsidRDefault="00AA5029" w:rsidP="00AA5029">
            <w:pPr>
              <w:pStyle w:val="LAQTabletext"/>
            </w:pPr>
            <w:r w:rsidRPr="00AA5029">
              <w:t xml:space="preserve">$68/hour </w:t>
            </w:r>
          </w:p>
          <w:p w14:paraId="40AD1E40" w14:textId="32C2EA02" w:rsidR="00AA5029" w:rsidRPr="00AA5029" w:rsidRDefault="00AA5029" w:rsidP="00AA5029">
            <w:pPr>
              <w:pStyle w:val="LAQTabletext"/>
              <w:rPr>
                <w:i/>
                <w:iCs/>
                <w:sz w:val="16"/>
                <w:szCs w:val="16"/>
              </w:rPr>
            </w:pPr>
            <w:r w:rsidRPr="00AA5029">
              <w:rPr>
                <w:i/>
                <w:iCs/>
                <w:sz w:val="16"/>
                <w:szCs w:val="16"/>
              </w:rPr>
              <w:t>(Applies to round trips over 35km, but not greater than 150km – travel  in excess of 150km is only payable with prior approval of  MHRT)</w:t>
            </w:r>
          </w:p>
        </w:tc>
      </w:tr>
      <w:tr w:rsidR="00AA5029" w:rsidRPr="00AA5029" w14:paraId="44779660" w14:textId="77777777" w:rsidTr="00693544">
        <w:tc>
          <w:tcPr>
            <w:tcW w:w="4598" w:type="dxa"/>
            <w:tcBorders>
              <w:top w:val="nil"/>
              <w:left w:val="single" w:sz="8" w:space="0" w:color="auto"/>
              <w:bottom w:val="single" w:sz="8" w:space="0" w:color="auto"/>
              <w:right w:val="single" w:sz="8" w:space="0" w:color="auto"/>
            </w:tcBorders>
            <w:shd w:val="clear" w:color="auto" w:fill="EDF8FA" w:themeFill="accent2" w:themeFillTint="33"/>
            <w:tcMar>
              <w:top w:w="0" w:type="dxa"/>
              <w:left w:w="108" w:type="dxa"/>
              <w:bottom w:w="0" w:type="dxa"/>
              <w:right w:w="108" w:type="dxa"/>
            </w:tcMar>
            <w:hideMark/>
          </w:tcPr>
          <w:p w14:paraId="422966D8" w14:textId="77777777" w:rsidR="00AA5029" w:rsidRPr="00AA5029" w:rsidRDefault="00AA5029" w:rsidP="00AA5029">
            <w:pPr>
              <w:pStyle w:val="Heading3"/>
              <w:spacing w:before="120"/>
            </w:pPr>
            <w:r w:rsidRPr="00AA5029">
              <w:t xml:space="preserve">Travel Expense </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495B427C" w14:textId="77777777" w:rsidR="00AA5029" w:rsidRPr="00693544" w:rsidRDefault="00AA5029" w:rsidP="00693544">
            <w:pPr>
              <w:pStyle w:val="LAQTabletext"/>
              <w:jc w:val="center"/>
              <w:rPr>
                <w:b/>
                <w:bCs/>
              </w:rPr>
            </w:pPr>
            <w:r w:rsidRPr="00693544">
              <w:rPr>
                <w:b/>
                <w:bCs/>
              </w:rPr>
              <w:t>TEMH</w:t>
            </w:r>
          </w:p>
        </w:tc>
        <w:tc>
          <w:tcPr>
            <w:tcW w:w="4486" w:type="dxa"/>
            <w:tcBorders>
              <w:top w:val="nil"/>
              <w:left w:val="nil"/>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4D127CF7" w14:textId="77777777" w:rsidR="00AA5029" w:rsidRPr="00AA5029" w:rsidRDefault="00AA5029" w:rsidP="00AA5029">
            <w:pPr>
              <w:pStyle w:val="LAQTabletext"/>
            </w:pPr>
            <w:r w:rsidRPr="00AA5029">
              <w:t xml:space="preserve">$0.70/km </w:t>
            </w:r>
          </w:p>
          <w:p w14:paraId="12CC58CE" w14:textId="7DDC0817" w:rsidR="00AA5029" w:rsidRPr="00AA5029" w:rsidRDefault="00AA5029" w:rsidP="00AA5029">
            <w:pPr>
              <w:pStyle w:val="LAQTabletext"/>
              <w:rPr>
                <w:i/>
                <w:iCs/>
                <w:sz w:val="16"/>
                <w:szCs w:val="16"/>
              </w:rPr>
            </w:pPr>
            <w:r w:rsidRPr="00AA5029">
              <w:rPr>
                <w:i/>
                <w:iCs/>
                <w:sz w:val="16"/>
                <w:szCs w:val="16"/>
              </w:rPr>
              <w:t>(Applies to round trips over 35km, but not greater than 150km – travel in excess of 150km is only payable with prior approval of  MHRT)</w:t>
            </w:r>
          </w:p>
        </w:tc>
      </w:tr>
      <w:tr w:rsidR="00AA5029" w:rsidRPr="00AA5029" w14:paraId="78C99DB4" w14:textId="77777777" w:rsidTr="00693544">
        <w:tc>
          <w:tcPr>
            <w:tcW w:w="4598" w:type="dxa"/>
            <w:tcBorders>
              <w:top w:val="nil"/>
              <w:left w:val="single" w:sz="8" w:space="0" w:color="auto"/>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3BB9DC7E" w14:textId="196BC01C" w:rsidR="00AA5029" w:rsidRPr="00AA5029" w:rsidRDefault="00AA5029" w:rsidP="00AA5029">
            <w:pPr>
              <w:pStyle w:val="LAQTabletext"/>
              <w:rPr>
                <w:i/>
                <w:iCs/>
                <w:sz w:val="16"/>
                <w:szCs w:val="16"/>
              </w:rPr>
            </w:pPr>
            <w:r>
              <w:rPr>
                <w:rFonts w:asciiTheme="majorHAnsi" w:eastAsiaTheme="majorEastAsia" w:hAnsiTheme="majorHAnsi" w:cstheme="majorBidi"/>
                <w:b/>
                <w:bCs/>
                <w:color w:val="005288" w:themeColor="text2"/>
                <w:sz w:val="26"/>
                <w:szCs w:val="24"/>
                <w:lang w:val="en-US" w:eastAsia="en-US"/>
              </w:rPr>
              <w:t>Pa</w:t>
            </w:r>
            <w:r w:rsidRPr="00AA5029">
              <w:rPr>
                <w:rFonts w:asciiTheme="majorHAnsi" w:eastAsiaTheme="majorEastAsia" w:hAnsiTheme="majorHAnsi" w:cstheme="majorBidi"/>
                <w:b/>
                <w:bCs/>
                <w:color w:val="005288" w:themeColor="text2"/>
                <w:sz w:val="26"/>
                <w:szCs w:val="24"/>
                <w:lang w:val="en-US" w:eastAsia="en-US"/>
              </w:rPr>
              <w:t xml:space="preserve">rking </w:t>
            </w:r>
            <w:r w:rsidRPr="00AA5029">
              <w:rPr>
                <w:b/>
                <w:bCs/>
                <w:i/>
                <w:iCs/>
                <w:sz w:val="16"/>
                <w:szCs w:val="16"/>
              </w:rPr>
              <w:t>Note:</w:t>
            </w:r>
            <w:r w:rsidRPr="00AA5029">
              <w:rPr>
                <w:i/>
                <w:iCs/>
                <w:sz w:val="16"/>
                <w:szCs w:val="16"/>
              </w:rPr>
              <w:t xml:space="preserve"> Tolls will not be reimbursed</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644CB4DF" w14:textId="77777777" w:rsidR="00AA5029" w:rsidRPr="00693544" w:rsidRDefault="00AA5029" w:rsidP="00693544">
            <w:pPr>
              <w:pStyle w:val="LAQTabletext"/>
              <w:jc w:val="center"/>
              <w:rPr>
                <w:b/>
                <w:bCs/>
              </w:rPr>
            </w:pPr>
            <w:r w:rsidRPr="00693544">
              <w:rPr>
                <w:b/>
                <w:bCs/>
              </w:rPr>
              <w:t>PKMH</w:t>
            </w:r>
          </w:p>
        </w:tc>
        <w:tc>
          <w:tcPr>
            <w:tcW w:w="4486" w:type="dxa"/>
            <w:tcBorders>
              <w:top w:val="nil"/>
              <w:left w:val="nil"/>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0B9546CB" w14:textId="176AF8EB" w:rsidR="00AA5029" w:rsidRPr="00AA5029" w:rsidRDefault="00AA5029" w:rsidP="00AA5029">
            <w:pPr>
              <w:pStyle w:val="LAQTabletext"/>
            </w:pPr>
            <w:r w:rsidRPr="00AA5029">
              <w:t xml:space="preserve">Actual cost reimbursement </w:t>
            </w:r>
          </w:p>
        </w:tc>
      </w:tr>
      <w:tr w:rsidR="00AA5029" w:rsidRPr="00AA5029" w14:paraId="67E1AE98" w14:textId="77777777" w:rsidTr="00693544">
        <w:tc>
          <w:tcPr>
            <w:tcW w:w="4598" w:type="dxa"/>
            <w:tcBorders>
              <w:top w:val="nil"/>
              <w:left w:val="single" w:sz="8" w:space="0" w:color="auto"/>
              <w:bottom w:val="single" w:sz="8" w:space="0" w:color="auto"/>
              <w:right w:val="single" w:sz="8" w:space="0" w:color="auto"/>
            </w:tcBorders>
            <w:shd w:val="clear" w:color="auto" w:fill="EDF8FA" w:themeFill="accent2" w:themeFillTint="33"/>
            <w:tcMar>
              <w:top w:w="0" w:type="dxa"/>
              <w:left w:w="108" w:type="dxa"/>
              <w:bottom w:w="0" w:type="dxa"/>
              <w:right w:w="108" w:type="dxa"/>
            </w:tcMar>
            <w:hideMark/>
          </w:tcPr>
          <w:p w14:paraId="69B3F8ED" w14:textId="77777777" w:rsidR="00AA5029" w:rsidRPr="00AA5029" w:rsidRDefault="00AA5029" w:rsidP="00AA5029">
            <w:pPr>
              <w:pStyle w:val="LAQTabletext"/>
            </w:pPr>
            <w:r w:rsidRPr="00AA5029">
              <w:rPr>
                <w:rFonts w:asciiTheme="majorHAnsi" w:eastAsiaTheme="majorEastAsia" w:hAnsiTheme="majorHAnsi" w:cstheme="majorBidi"/>
                <w:b/>
                <w:bCs/>
                <w:color w:val="005288" w:themeColor="text2"/>
                <w:sz w:val="26"/>
                <w:szCs w:val="24"/>
                <w:lang w:val="en-US" w:eastAsia="en-US"/>
              </w:rPr>
              <w:t xml:space="preserve">Interpreter </w:t>
            </w:r>
            <w:r w:rsidRPr="00AA5029">
              <w:rPr>
                <w:rFonts w:asciiTheme="majorHAnsi" w:eastAsiaTheme="majorEastAsia" w:hAnsiTheme="majorHAnsi" w:cstheme="majorBidi"/>
                <w:i/>
                <w:iCs/>
                <w:color w:val="005288" w:themeColor="text2"/>
                <w:lang w:val="en-US" w:eastAsia="en-US"/>
              </w:rPr>
              <w:t>(spoken language)</w:t>
            </w:r>
            <w:r w:rsidRPr="00AA5029">
              <w:t xml:space="preserve"> </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386183B9" w14:textId="77777777" w:rsidR="00AA5029" w:rsidRPr="00693544" w:rsidRDefault="00AA5029" w:rsidP="00693544">
            <w:pPr>
              <w:pStyle w:val="LAQTabletext"/>
              <w:jc w:val="center"/>
              <w:rPr>
                <w:b/>
                <w:bCs/>
              </w:rPr>
            </w:pPr>
            <w:r w:rsidRPr="00693544">
              <w:rPr>
                <w:b/>
                <w:bCs/>
              </w:rPr>
              <w:t>INT3</w:t>
            </w:r>
          </w:p>
        </w:tc>
        <w:tc>
          <w:tcPr>
            <w:tcW w:w="4486" w:type="dxa"/>
            <w:tcBorders>
              <w:top w:val="nil"/>
              <w:left w:val="nil"/>
              <w:bottom w:val="single" w:sz="8" w:space="0" w:color="auto"/>
              <w:right w:val="single" w:sz="8" w:space="0" w:color="auto"/>
            </w:tcBorders>
            <w:shd w:val="clear" w:color="auto" w:fill="EDF8FA" w:themeFill="accent2" w:themeFillTint="33"/>
            <w:tcMar>
              <w:top w:w="0" w:type="dxa"/>
              <w:left w:w="108" w:type="dxa"/>
              <w:bottom w:w="0" w:type="dxa"/>
              <w:right w:w="108" w:type="dxa"/>
            </w:tcMar>
          </w:tcPr>
          <w:p w14:paraId="7F187231" w14:textId="7D2F4773" w:rsidR="00AA5029" w:rsidRPr="00AA5029" w:rsidRDefault="00AA5029" w:rsidP="00AA5029">
            <w:pPr>
              <w:pStyle w:val="LAQTabletext"/>
            </w:pPr>
            <w:r w:rsidRPr="00AA5029">
              <w:t xml:space="preserve">Actual cost reimbursement </w:t>
            </w:r>
          </w:p>
        </w:tc>
      </w:tr>
      <w:tr w:rsidR="00AA5029" w:rsidRPr="00AA5029" w14:paraId="320D9B2A" w14:textId="77777777" w:rsidTr="00693544">
        <w:tc>
          <w:tcPr>
            <w:tcW w:w="4598" w:type="dxa"/>
            <w:tcBorders>
              <w:top w:val="nil"/>
              <w:left w:val="single" w:sz="8" w:space="0" w:color="auto"/>
              <w:bottom w:val="single" w:sz="8" w:space="0" w:color="auto"/>
              <w:right w:val="single" w:sz="8" w:space="0" w:color="auto"/>
            </w:tcBorders>
            <w:shd w:val="clear" w:color="auto" w:fill="DCF1F5" w:themeFill="accent2" w:themeFillTint="66"/>
            <w:tcMar>
              <w:top w:w="0" w:type="dxa"/>
              <w:left w:w="108" w:type="dxa"/>
              <w:bottom w:w="0" w:type="dxa"/>
              <w:right w:w="108" w:type="dxa"/>
            </w:tcMar>
            <w:hideMark/>
          </w:tcPr>
          <w:p w14:paraId="57F3F388" w14:textId="77777777" w:rsidR="00AA5029" w:rsidRPr="00AA5029" w:rsidRDefault="00AA5029" w:rsidP="00AA5029">
            <w:pPr>
              <w:pStyle w:val="LAQTabletext"/>
            </w:pPr>
            <w:r w:rsidRPr="00AA5029">
              <w:rPr>
                <w:rFonts w:asciiTheme="majorHAnsi" w:eastAsiaTheme="majorEastAsia" w:hAnsiTheme="majorHAnsi" w:cstheme="majorBidi"/>
                <w:b/>
                <w:bCs/>
                <w:color w:val="005288" w:themeColor="text2"/>
                <w:sz w:val="26"/>
                <w:szCs w:val="24"/>
                <w:lang w:val="en-US" w:eastAsia="en-US"/>
              </w:rPr>
              <w:t xml:space="preserve">Interpreter </w:t>
            </w:r>
            <w:r w:rsidRPr="00AA5029">
              <w:rPr>
                <w:rFonts w:asciiTheme="majorHAnsi" w:eastAsiaTheme="majorEastAsia" w:hAnsiTheme="majorHAnsi" w:cstheme="majorBidi"/>
                <w:i/>
                <w:iCs/>
                <w:color w:val="005288" w:themeColor="text2"/>
                <w:lang w:val="en-US" w:eastAsia="en-US"/>
              </w:rPr>
              <w:t>(hearing/speech impaired)</w:t>
            </w:r>
          </w:p>
        </w:tc>
        <w:tc>
          <w:tcPr>
            <w:tcW w:w="805" w:type="dxa"/>
            <w:tcBorders>
              <w:top w:val="nil"/>
              <w:left w:val="nil"/>
              <w:bottom w:val="single" w:sz="8" w:space="0" w:color="auto"/>
              <w:right w:val="single" w:sz="8" w:space="0" w:color="auto"/>
            </w:tcBorders>
            <w:shd w:val="clear" w:color="auto" w:fill="E1E9F1" w:themeFill="accent4" w:themeFillTint="33"/>
            <w:tcMar>
              <w:top w:w="0" w:type="dxa"/>
              <w:left w:w="108" w:type="dxa"/>
              <w:bottom w:w="0" w:type="dxa"/>
              <w:right w:w="108" w:type="dxa"/>
            </w:tcMar>
            <w:hideMark/>
          </w:tcPr>
          <w:p w14:paraId="44D27AFA" w14:textId="77777777" w:rsidR="00AA5029" w:rsidRPr="00693544" w:rsidRDefault="00AA5029" w:rsidP="00693544">
            <w:pPr>
              <w:pStyle w:val="LAQTabletext"/>
              <w:jc w:val="center"/>
              <w:rPr>
                <w:b/>
                <w:bCs/>
              </w:rPr>
            </w:pPr>
            <w:r w:rsidRPr="00693544">
              <w:rPr>
                <w:b/>
                <w:bCs/>
              </w:rPr>
              <w:t>INT4</w:t>
            </w:r>
          </w:p>
        </w:tc>
        <w:tc>
          <w:tcPr>
            <w:tcW w:w="4486" w:type="dxa"/>
            <w:tcBorders>
              <w:top w:val="nil"/>
              <w:left w:val="nil"/>
              <w:bottom w:val="single" w:sz="8" w:space="0" w:color="auto"/>
              <w:right w:val="single" w:sz="8" w:space="0" w:color="auto"/>
            </w:tcBorders>
            <w:shd w:val="clear" w:color="auto" w:fill="DCF1F5" w:themeFill="accent2" w:themeFillTint="66"/>
            <w:tcMar>
              <w:top w:w="0" w:type="dxa"/>
              <w:left w:w="108" w:type="dxa"/>
              <w:bottom w:w="0" w:type="dxa"/>
              <w:right w:w="108" w:type="dxa"/>
            </w:tcMar>
          </w:tcPr>
          <w:p w14:paraId="689833F1" w14:textId="19D4F29A" w:rsidR="00AA5029" w:rsidRPr="00AA5029" w:rsidRDefault="00AA5029" w:rsidP="00AA5029">
            <w:pPr>
              <w:pStyle w:val="LAQTabletext"/>
            </w:pPr>
            <w:r w:rsidRPr="00AA5029">
              <w:t xml:space="preserve">Actual cost reimbursement </w:t>
            </w:r>
          </w:p>
        </w:tc>
      </w:tr>
    </w:tbl>
    <w:p w14:paraId="00A97085" w14:textId="77777777" w:rsidR="00693544" w:rsidRDefault="00693544" w:rsidP="00693544">
      <w:pPr>
        <w:pStyle w:val="Heading3"/>
        <w:ind w:right="-7"/>
      </w:pPr>
      <w:r>
        <w:lastRenderedPageBreak/>
        <w:t>Notes:</w:t>
      </w:r>
    </w:p>
    <w:p w14:paraId="7F4E3F35" w14:textId="4AD50857" w:rsidR="00693544" w:rsidRDefault="00693544" w:rsidP="00693544">
      <w:pPr>
        <w:pStyle w:val="ListParagraph"/>
        <w:numPr>
          <w:ilvl w:val="0"/>
          <w:numId w:val="14"/>
        </w:numPr>
        <w:spacing w:before="120" w:after="120"/>
        <w:ind w:left="714" w:right="-6" w:hanging="357"/>
        <w:contextualSpacing w:val="0"/>
      </w:pPr>
      <w:r>
        <w:t>Where a legal practitioner attends a hearing, or where a hearing is adjourned or cancelled within two (2) business days of the date of the hearing, the legal practitioner is entitled to claim payment for representation at that hearing (</w:t>
      </w:r>
      <w:r w:rsidR="008A443E">
        <w:t>i.e.</w:t>
      </w:r>
      <w:r>
        <w:t xml:space="preserve"> Module C). Where a hearing is adjourned or cancelled more than two (2) business days from the date of the hearing, the legal practitioner in not entitled to claim payment for representation at that hearing.</w:t>
      </w:r>
    </w:p>
    <w:p w14:paraId="77DBCA7D" w14:textId="1C4593F6" w:rsidR="00693544" w:rsidRDefault="00693544" w:rsidP="00693544">
      <w:pPr>
        <w:pStyle w:val="ListParagraph"/>
        <w:numPr>
          <w:ilvl w:val="0"/>
          <w:numId w:val="14"/>
        </w:numPr>
        <w:spacing w:before="120" w:after="120"/>
        <w:ind w:left="714" w:right="-6" w:hanging="357"/>
        <w:contextualSpacing w:val="0"/>
      </w:pPr>
      <w:r>
        <w:t xml:space="preserve">Where there is a request for transfer of a Service Order to another Law Practice, the first Law Practice should provide timely notification to LAQ and a sufficient justification for the transfer (such as an ethical issue that was not apparent at the point of allocation), otherwise the first practitioner may not receive payment for the Service Order. All transfers of Service Orders require prior approval from the MHRT.  </w:t>
      </w:r>
    </w:p>
    <w:p w14:paraId="45F41AEA" w14:textId="4A477C9E" w:rsidR="00693544" w:rsidRDefault="00693544" w:rsidP="00693544">
      <w:pPr>
        <w:pStyle w:val="ListParagraph"/>
        <w:numPr>
          <w:ilvl w:val="0"/>
          <w:numId w:val="14"/>
        </w:numPr>
        <w:spacing w:before="120" w:after="120"/>
        <w:ind w:left="714" w:right="-6" w:hanging="357"/>
        <w:contextualSpacing w:val="0"/>
      </w:pPr>
      <w:r>
        <w:t xml:space="preserve">All travel must be undertaken in the way that is most economical as to cost. </w:t>
      </w:r>
    </w:p>
    <w:p w14:paraId="0638829C" w14:textId="13F43FF0" w:rsidR="00CB704F" w:rsidRPr="00AF752A" w:rsidRDefault="00693544" w:rsidP="00693544">
      <w:pPr>
        <w:pStyle w:val="ListParagraph"/>
        <w:numPr>
          <w:ilvl w:val="0"/>
          <w:numId w:val="14"/>
        </w:numPr>
        <w:spacing w:before="120" w:after="120"/>
        <w:ind w:left="714" w:right="-6" w:hanging="357"/>
        <w:contextualSpacing w:val="0"/>
      </w:pPr>
      <w:r>
        <w:t xml:space="preserve">Fees are current as at 1 July 2022.  </w:t>
      </w:r>
      <w:bookmarkEnd w:id="0"/>
    </w:p>
    <w:sectPr w:rsidR="00CB704F" w:rsidRPr="00AF752A" w:rsidSect="00693544">
      <w:headerReference w:type="default" r:id="rId8"/>
      <w:footerReference w:type="even" r:id="rId9"/>
      <w:footerReference w:type="default" r:id="rId10"/>
      <w:headerReference w:type="first" r:id="rId11"/>
      <w:pgSz w:w="11900" w:h="16840"/>
      <w:pgMar w:top="2268" w:right="1134" w:bottom="1519"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CD0D" w14:textId="77777777" w:rsidR="00542485" w:rsidRDefault="00542485" w:rsidP="002A385C">
      <w:r>
        <w:separator/>
      </w:r>
    </w:p>
    <w:p w14:paraId="10BF4797" w14:textId="77777777" w:rsidR="00542485" w:rsidRDefault="00542485"/>
  </w:endnote>
  <w:endnote w:type="continuationSeparator" w:id="0">
    <w:p w14:paraId="0A3AA5FD" w14:textId="77777777" w:rsidR="00542485" w:rsidRDefault="00542485" w:rsidP="002A385C">
      <w:r>
        <w:continuationSeparator/>
      </w:r>
    </w:p>
    <w:p w14:paraId="06FE8CE4" w14:textId="77777777" w:rsidR="00542485" w:rsidRDefault="00542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67F9" w14:textId="6E5EE2F0" w:rsidR="00344182" w:rsidRDefault="008A443E" w:rsidP="008B728F">
    <w:pPr>
      <w:pStyle w:val="Footer"/>
      <w:jc w:val="right"/>
    </w:pPr>
    <w:r>
      <w:fldChar w:fldCharType="begin"/>
    </w:r>
    <w:r>
      <w:instrText xml:space="preserve"> DOCPROPERTY "HPTRIMReference" \* MERGEFORMAT </w:instrText>
    </w:r>
    <w:r>
      <w:fldChar w:fldCharType="separate"/>
    </w:r>
    <w:r w:rsidR="00344182" w:rsidRPr="008B728F">
      <w:rPr>
        <w:rFonts w:ascii="Arial" w:hAnsi="Arial" w:cs="Arial"/>
        <w:sz w:val="13"/>
      </w:rPr>
      <w:t>TRIM no 2014/653104</w:t>
    </w:r>
    <w:r>
      <w:rPr>
        <w:rFonts w:ascii="Arial" w:hAnsi="Arial" w:cs="Arial"/>
        <w:sz w:val="13"/>
      </w:rPr>
      <w:fldChar w:fldCharType="end"/>
    </w:r>
  </w:p>
  <w:p w14:paraId="134087AE" w14:textId="77777777" w:rsidR="00344182" w:rsidRDefault="003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08B2" w14:textId="5C604298" w:rsidR="00344182" w:rsidRPr="000A6E36" w:rsidRDefault="00344182">
    <w:pPr>
      <w:pStyle w:val="Footer"/>
      <w:rPr>
        <w:b/>
        <w:color w:val="005288" w:themeColor="text2"/>
        <w:sz w:val="16"/>
        <w:szCs w:val="16"/>
      </w:rPr>
    </w:pPr>
    <w:r w:rsidRPr="000458B5">
      <w:rPr>
        <w:b/>
        <w:color w:val="005288" w:themeColor="text2"/>
        <w:sz w:val="16"/>
        <w:szCs w:val="16"/>
      </w:rPr>
      <w:fldChar w:fldCharType="begin"/>
    </w:r>
    <w:r w:rsidRPr="000458B5">
      <w:rPr>
        <w:b/>
        <w:color w:val="005288" w:themeColor="text2"/>
        <w:sz w:val="16"/>
        <w:szCs w:val="16"/>
      </w:rPr>
      <w:instrText xml:space="preserve"> PAGE   \* MERGEFORMAT </w:instrText>
    </w:r>
    <w:r w:rsidRPr="000458B5">
      <w:rPr>
        <w:b/>
        <w:color w:val="005288" w:themeColor="text2"/>
        <w:sz w:val="16"/>
        <w:szCs w:val="16"/>
      </w:rPr>
      <w:fldChar w:fldCharType="separate"/>
    </w:r>
    <w:r w:rsidR="007C1E29">
      <w:rPr>
        <w:b/>
        <w:noProof/>
        <w:color w:val="005288" w:themeColor="text2"/>
        <w:sz w:val="16"/>
        <w:szCs w:val="16"/>
      </w:rPr>
      <w:t>2</w:t>
    </w:r>
    <w:r w:rsidRPr="000458B5">
      <w:rPr>
        <w:b/>
        <w:noProof/>
        <w:color w:val="005288" w:themeColor="text2"/>
        <w:sz w:val="16"/>
        <w:szCs w:val="16"/>
      </w:rPr>
      <w:fldChar w:fldCharType="end"/>
    </w:r>
    <w:r>
      <w:rPr>
        <w:color w:val="005288" w:themeColor="text2"/>
        <w:sz w:val="16"/>
        <w:szCs w:val="16"/>
      </w:rPr>
      <w:t xml:space="preserve"> | </w:t>
    </w:r>
    <w:r w:rsidR="00AA5029" w:rsidRPr="00AA5029">
      <w:rPr>
        <w:rStyle w:val="LAQFootertextChar"/>
        <w:i/>
        <w:iCs/>
      </w:rPr>
      <w:t>as at 14.11.2022</w:t>
    </w:r>
  </w:p>
  <w:p w14:paraId="3EEC9272" w14:textId="77777777" w:rsidR="00344182" w:rsidRDefault="003441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C205" w14:textId="77777777" w:rsidR="00542485" w:rsidRDefault="00542485" w:rsidP="002A385C">
      <w:r>
        <w:separator/>
      </w:r>
    </w:p>
    <w:p w14:paraId="00560A72" w14:textId="77777777" w:rsidR="00542485" w:rsidRDefault="00542485"/>
  </w:footnote>
  <w:footnote w:type="continuationSeparator" w:id="0">
    <w:p w14:paraId="1C70233C" w14:textId="77777777" w:rsidR="00542485" w:rsidRDefault="00542485" w:rsidP="002A385C">
      <w:r>
        <w:continuationSeparator/>
      </w:r>
    </w:p>
    <w:p w14:paraId="15046355" w14:textId="77777777" w:rsidR="00542485" w:rsidRDefault="00542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7FA2" w14:textId="70B5061F" w:rsidR="00344182" w:rsidRPr="00BA1CB5" w:rsidRDefault="00344182" w:rsidP="002A385C">
    <w:pPr>
      <w:pStyle w:val="Subtitle"/>
      <w:rPr>
        <w:rStyle w:val="SubtleEmphasis"/>
      </w:rPr>
    </w:pPr>
    <w:r w:rsidRPr="00C75F6E">
      <w:rPr>
        <w:noProof/>
        <w:lang w:val="en-AU" w:eastAsia="en-AU"/>
      </w:rPr>
      <w:drawing>
        <wp:anchor distT="0" distB="0" distL="114300" distR="114300" simplePos="0" relativeHeight="251660288" behindDoc="1" locked="1" layoutInCell="1" allowOverlap="1" wp14:anchorId="5DC49488" wp14:editId="5E7AAB20">
          <wp:simplePos x="0" y="0"/>
          <mc:AlternateContent>
            <mc:Choice Requires="wp14">
              <wp:positionH relativeFrom="page">
                <wp14:pctPosHOffset>72000</wp14:pctPosHOffset>
              </wp:positionH>
            </mc:Choice>
            <mc:Fallback>
              <wp:positionH relativeFrom="page">
                <wp:posOffset>5440680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470621" cy="33355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Q-logo_r.png"/>
                  <pic:cNvPicPr/>
                </pic:nvPicPr>
                <pic:blipFill>
                  <a:blip r:embed="rId1">
                    <a:extLst>
                      <a:ext uri="{28A0092B-C50C-407E-A947-70E740481C1C}">
                        <a14:useLocalDpi xmlns:a14="http://schemas.microsoft.com/office/drawing/2010/main" val="0"/>
                      </a:ext>
                    </a:extLst>
                  </a:blip>
                  <a:stretch>
                    <a:fillRect/>
                  </a:stretch>
                </pic:blipFill>
                <pic:spPr>
                  <a:xfrm>
                    <a:off x="0" y="0"/>
                    <a:ext cx="1470621" cy="333550"/>
                  </a:xfrm>
                  <a:prstGeom prst="rect">
                    <a:avLst/>
                  </a:prstGeom>
                </pic:spPr>
              </pic:pic>
            </a:graphicData>
          </a:graphic>
          <wp14:sizeRelH relativeFrom="page">
            <wp14:pctWidth>0</wp14:pctWidth>
          </wp14:sizeRelH>
          <wp14:sizeRelV relativeFrom="page">
            <wp14:pctHeight>0</wp14:pctHeight>
          </wp14:sizeRelV>
        </wp:anchor>
      </w:drawing>
    </w:r>
    <w:r w:rsidRPr="00C75F6E">
      <w:rPr>
        <w:noProof/>
        <w:lang w:val="en-AU" w:eastAsia="en-AU"/>
      </w:rPr>
      <mc:AlternateContent>
        <mc:Choice Requires="wps">
          <w:drawing>
            <wp:anchor distT="0" distB="0" distL="114300" distR="114300" simplePos="0" relativeHeight="251659264" behindDoc="1" locked="1" layoutInCell="1" allowOverlap="0" wp14:anchorId="156F388E" wp14:editId="6BB8CE4B">
              <wp:simplePos x="0" y="0"/>
              <wp:positionH relativeFrom="page">
                <wp:posOffset>-3942715</wp:posOffset>
              </wp:positionH>
              <wp:positionV relativeFrom="page">
                <wp:posOffset>0</wp:posOffset>
              </wp:positionV>
              <wp:extent cx="15479395" cy="1079500"/>
              <wp:effectExtent l="0" t="0" r="0" b="12700"/>
              <wp:wrapThrough wrapText="bothSides">
                <wp:wrapPolygon edited="0">
                  <wp:start x="0" y="0"/>
                  <wp:lineTo x="0" y="21346"/>
                  <wp:lineTo x="21549" y="21346"/>
                  <wp:lineTo x="2154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5479395" cy="1079500"/>
                      </a:xfrm>
                      <a:prstGeom prst="rect">
                        <a:avLst/>
                      </a:prstGeom>
                      <a:solidFill>
                        <a:schemeClr val="tx2"/>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6E15D" id="Rectangle 1" o:spid="_x0000_s1026" style="position:absolute;margin-left:-310.45pt;margin-top:0;width:1218.8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" o:allowoverlap="f" fillcolor="#005288 [3215]" stroked="f">
              <w10:wrap type="through" anchorx="page" anchory="page"/>
              <w10:anchorlock/>
            </v:rect>
          </w:pict>
        </mc:Fallback>
      </mc:AlternateContent>
    </w:r>
  </w:p>
  <w:p w14:paraId="1E2A0E76" w14:textId="77777777" w:rsidR="00344182" w:rsidRDefault="00344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A29A" w14:textId="40362BF6" w:rsidR="00344182" w:rsidRDefault="00344182">
    <w:pPr>
      <w:pStyle w:val="Header"/>
    </w:pPr>
    <w:r w:rsidRPr="00C75F6E">
      <w:rPr>
        <w:noProof/>
        <w:lang w:val="en-AU" w:eastAsia="en-AU"/>
      </w:rPr>
      <w:drawing>
        <wp:anchor distT="0" distB="0" distL="114300" distR="114300" simplePos="0" relativeHeight="251664384" behindDoc="1" locked="1" layoutInCell="1" allowOverlap="1" wp14:anchorId="64F1EEC4" wp14:editId="794158D3">
          <wp:simplePos x="0" y="0"/>
          <wp:positionH relativeFrom="page">
            <wp:posOffset>4817745</wp:posOffset>
          </wp:positionH>
          <wp:positionV relativeFrom="page">
            <wp:posOffset>8761730</wp:posOffset>
          </wp:positionV>
          <wp:extent cx="1919605" cy="434975"/>
          <wp:effectExtent l="0" t="0" r="444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Q-logo_r.png"/>
                  <pic:cNvPicPr/>
                </pic:nvPicPr>
                <pic:blipFill>
                  <a:blip r:embed="rId1">
                    <a:extLst>
                      <a:ext uri="{28A0092B-C50C-407E-A947-70E740481C1C}">
                        <a14:useLocalDpi xmlns:a14="http://schemas.microsoft.com/office/drawing/2010/main" val="0"/>
                      </a:ext>
                    </a:extLst>
                  </a:blip>
                  <a:stretch>
                    <a:fillRect/>
                  </a:stretch>
                </pic:blipFill>
                <pic:spPr>
                  <a:xfrm>
                    <a:off x="0" y="0"/>
                    <a:ext cx="1919605"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281"/>
    <w:multiLevelType w:val="hybridMultilevel"/>
    <w:tmpl w:val="B6D2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94FF2"/>
    <w:multiLevelType w:val="hybridMultilevel"/>
    <w:tmpl w:val="8BAA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997A78"/>
    <w:multiLevelType w:val="hybridMultilevel"/>
    <w:tmpl w:val="5ABA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D1C13"/>
    <w:multiLevelType w:val="hybridMultilevel"/>
    <w:tmpl w:val="55562EC0"/>
    <w:lvl w:ilvl="0" w:tplc="241C8740">
      <w:start w:val="1"/>
      <w:numFmt w:val="lowerRoman"/>
      <w:pStyle w:val="LAQNumberingRomanNumerals"/>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34450"/>
    <w:multiLevelType w:val="hybridMultilevel"/>
    <w:tmpl w:val="7374C932"/>
    <w:lvl w:ilvl="0" w:tplc="A0963068">
      <w:start w:val="1"/>
      <w:numFmt w:val="decimal"/>
      <w:pStyle w:val="LAQNumbering-standard"/>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B46F0"/>
    <w:multiLevelType w:val="multilevel"/>
    <w:tmpl w:val="42A63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40136"/>
    <w:multiLevelType w:val="hybridMultilevel"/>
    <w:tmpl w:val="6AB08100"/>
    <w:lvl w:ilvl="0" w:tplc="AD92315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A41C4"/>
    <w:multiLevelType w:val="multilevel"/>
    <w:tmpl w:val="34367916"/>
    <w:lvl w:ilvl="0">
      <w:start w:val="1"/>
      <w:numFmt w:val="decimal"/>
      <w:pStyle w:val="LAQStdNo1"/>
      <w:lvlText w:val="%1."/>
      <w:lvlJc w:val="left"/>
      <w:pPr>
        <w:tabs>
          <w:tab w:val="num" w:pos="823"/>
        </w:tabs>
        <w:ind w:left="823" w:hanging="539"/>
      </w:pPr>
      <w:rPr>
        <w:rFonts w:hint="default"/>
      </w:rPr>
    </w:lvl>
    <w:lvl w:ilvl="1">
      <w:start w:val="1"/>
      <w:numFmt w:val="decimal"/>
      <w:pStyle w:val="LAQStdNo2"/>
      <w:lvlText w:val="%1.%2."/>
      <w:lvlJc w:val="left"/>
      <w:pPr>
        <w:tabs>
          <w:tab w:val="num" w:pos="748"/>
        </w:tabs>
        <w:ind w:left="748"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F230FB"/>
    <w:multiLevelType w:val="hybridMultilevel"/>
    <w:tmpl w:val="7696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338C7"/>
    <w:multiLevelType w:val="multilevel"/>
    <w:tmpl w:val="89E47DFE"/>
    <w:lvl w:ilvl="0">
      <w:start w:val="1"/>
      <w:numFmt w:val="decimal"/>
      <w:pStyle w:val="LAQNumbering11etc"/>
      <w:isLgl/>
      <w:lvlText w:val="%1.1"/>
      <w:lvlJc w:val="left"/>
      <w:pPr>
        <w:tabs>
          <w:tab w:val="num" w:pos="1701"/>
        </w:tabs>
        <w:ind w:left="851" w:hanging="567"/>
      </w:pPr>
      <w:rPr>
        <w:rFonts w:hint="default"/>
      </w:rPr>
    </w:lvl>
    <w:lvl w:ilvl="1">
      <w:start w:val="1"/>
      <w:numFmt w:val="decimal"/>
      <w:isLgl/>
      <w:lvlText w:val="%1.%2."/>
      <w:lvlJc w:val="left"/>
      <w:pPr>
        <w:tabs>
          <w:tab w:val="num" w:pos="1701"/>
        </w:tabs>
        <w:ind w:left="1134" w:hanging="490"/>
      </w:pPr>
      <w:rPr>
        <w:rFonts w:hint="default"/>
      </w:rPr>
    </w:lvl>
    <w:lvl w:ilvl="2">
      <w:start w:val="1"/>
      <w:numFmt w:val="decimal"/>
      <w:isLgl/>
      <w:lvlText w:val="%1.%2.%3."/>
      <w:lvlJc w:val="left"/>
      <w:pPr>
        <w:tabs>
          <w:tab w:val="num" w:pos="1701"/>
        </w:tabs>
        <w:ind w:left="1701" w:hanging="697"/>
      </w:pPr>
      <w:rPr>
        <w:rFonts w:hint="default"/>
      </w:rPr>
    </w:lvl>
    <w:lvl w:ilvl="3">
      <w:start w:val="1"/>
      <w:numFmt w:val="decimal"/>
      <w:isLgl/>
      <w:lvlText w:val="%1.%2.%3.%4."/>
      <w:lvlJc w:val="left"/>
      <w:pPr>
        <w:tabs>
          <w:tab w:val="num" w:pos="1701"/>
        </w:tabs>
        <w:ind w:left="2268" w:hanging="904"/>
      </w:pPr>
      <w:rPr>
        <w:rFonts w:hint="default"/>
      </w:rPr>
    </w:lvl>
    <w:lvl w:ilvl="4">
      <w:start w:val="1"/>
      <w:numFmt w:val="decimal"/>
      <w:isLgl/>
      <w:lvlText w:val="%1.%2.%3.%4.%5."/>
      <w:lvlJc w:val="left"/>
      <w:pPr>
        <w:tabs>
          <w:tab w:val="num" w:pos="1701"/>
        </w:tabs>
        <w:ind w:left="2835" w:hanging="1111"/>
      </w:pPr>
      <w:rPr>
        <w:rFonts w:hint="default"/>
      </w:rPr>
    </w:lvl>
    <w:lvl w:ilvl="5">
      <w:start w:val="1"/>
      <w:numFmt w:val="decimal"/>
      <w:lvlRestart w:val="0"/>
      <w:lvlText w:val="%1.%2.%3.%4.%5.%6."/>
      <w:lvlJc w:val="left"/>
      <w:pPr>
        <w:tabs>
          <w:tab w:val="num" w:pos="1701"/>
        </w:tabs>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0" w15:restartNumberingAfterBreak="0">
    <w:nsid w:val="600E4473"/>
    <w:multiLevelType w:val="multilevel"/>
    <w:tmpl w:val="AC863680"/>
    <w:lvl w:ilvl="0">
      <w:start w:val="1"/>
      <w:numFmt w:val="decimal"/>
      <w:pStyle w:val="LAQCourtNo1"/>
      <w:lvlText w:val="%1."/>
      <w:lvlJc w:val="left"/>
      <w:pPr>
        <w:tabs>
          <w:tab w:val="num" w:pos="720"/>
        </w:tabs>
        <w:ind w:left="720" w:hanging="720"/>
      </w:pPr>
      <w:rPr>
        <w:rFonts w:ascii="Arial" w:hAnsi="Arial" w:hint="default"/>
        <w:sz w:val="22"/>
        <w:szCs w:val="22"/>
      </w:rPr>
    </w:lvl>
    <w:lvl w:ilvl="1">
      <w:start w:val="1"/>
      <w:numFmt w:val="lowerLetter"/>
      <w:pStyle w:val="LAQCourtNo2"/>
      <w:lvlText w:val="(%2)"/>
      <w:lvlJc w:val="left"/>
      <w:pPr>
        <w:tabs>
          <w:tab w:val="num" w:pos="1440"/>
        </w:tabs>
        <w:ind w:left="1440" w:hanging="720"/>
      </w:pPr>
      <w:rPr>
        <w:rFonts w:ascii="Arial" w:hAnsi="Arial" w:hint="default"/>
        <w:b w:val="0"/>
        <w:i w:val="0"/>
        <w:sz w:val="22"/>
        <w:szCs w:val="22"/>
      </w:rPr>
    </w:lvl>
    <w:lvl w:ilvl="2">
      <w:start w:val="1"/>
      <w:numFmt w:val="lowerRoman"/>
      <w:pStyle w:val="LAQCourtNo3"/>
      <w:lvlText w:val="(%3)"/>
      <w:lvlJc w:val="left"/>
      <w:pPr>
        <w:tabs>
          <w:tab w:val="num" w:pos="2160"/>
        </w:tabs>
        <w:ind w:left="2160" w:hanging="720"/>
      </w:pPr>
      <w:rPr>
        <w:rFonts w:ascii="Arial" w:hAnsi="Arial" w:hint="default"/>
        <w:sz w:val="22"/>
        <w:szCs w:val="22"/>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15:restartNumberingAfterBreak="0">
    <w:nsid w:val="77455BF5"/>
    <w:multiLevelType w:val="hybridMultilevel"/>
    <w:tmpl w:val="6816A75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10"/>
  </w:num>
  <w:num w:numId="6">
    <w:abstractNumId w:val="7"/>
  </w:num>
  <w:num w:numId="7">
    <w:abstractNumId w:val="1"/>
  </w:num>
  <w:num w:numId="8">
    <w:abstractNumId w:val="5"/>
  </w:num>
  <w:num w:numId="9">
    <w:abstractNumId w:val="5"/>
  </w:num>
  <w:num w:numId="10">
    <w:abstractNumId w:val="0"/>
  </w:num>
  <w:num w:numId="11">
    <w:abstractNumId w:val="6"/>
  </w:num>
  <w:num w:numId="12">
    <w:abstractNumId w:val="2"/>
  </w:num>
  <w:num w:numId="13">
    <w:abstractNumId w:val="8"/>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5AD"/>
    <w:rsid w:val="00006FD8"/>
    <w:rsid w:val="00010412"/>
    <w:rsid w:val="00032874"/>
    <w:rsid w:val="000351E6"/>
    <w:rsid w:val="00035CDF"/>
    <w:rsid w:val="000458B5"/>
    <w:rsid w:val="00081DD1"/>
    <w:rsid w:val="00094C77"/>
    <w:rsid w:val="00096C59"/>
    <w:rsid w:val="000A6E36"/>
    <w:rsid w:val="000B35AD"/>
    <w:rsid w:val="000B46F2"/>
    <w:rsid w:val="000C5FE7"/>
    <w:rsid w:val="000F67BA"/>
    <w:rsid w:val="00105868"/>
    <w:rsid w:val="001121B4"/>
    <w:rsid w:val="001132CE"/>
    <w:rsid w:val="00115AAA"/>
    <w:rsid w:val="001206F5"/>
    <w:rsid w:val="00137683"/>
    <w:rsid w:val="0014172B"/>
    <w:rsid w:val="001716EA"/>
    <w:rsid w:val="00171BDC"/>
    <w:rsid w:val="00184AE3"/>
    <w:rsid w:val="001930E4"/>
    <w:rsid w:val="00193351"/>
    <w:rsid w:val="00222B75"/>
    <w:rsid w:val="002260FA"/>
    <w:rsid w:val="00232C02"/>
    <w:rsid w:val="00244D3F"/>
    <w:rsid w:val="00247969"/>
    <w:rsid w:val="00250501"/>
    <w:rsid w:val="00250A63"/>
    <w:rsid w:val="00256063"/>
    <w:rsid w:val="00271275"/>
    <w:rsid w:val="00284E8E"/>
    <w:rsid w:val="00287AA7"/>
    <w:rsid w:val="00293AA9"/>
    <w:rsid w:val="0029790A"/>
    <w:rsid w:val="002A385C"/>
    <w:rsid w:val="00300FB1"/>
    <w:rsid w:val="00344182"/>
    <w:rsid w:val="003649F7"/>
    <w:rsid w:val="00374B4D"/>
    <w:rsid w:val="00386EFF"/>
    <w:rsid w:val="003A7B71"/>
    <w:rsid w:val="003D68A6"/>
    <w:rsid w:val="00403915"/>
    <w:rsid w:val="00404B13"/>
    <w:rsid w:val="00446638"/>
    <w:rsid w:val="004667BD"/>
    <w:rsid w:val="00487B49"/>
    <w:rsid w:val="00491503"/>
    <w:rsid w:val="00493382"/>
    <w:rsid w:val="004A3324"/>
    <w:rsid w:val="004D198C"/>
    <w:rsid w:val="00501B1B"/>
    <w:rsid w:val="005060F4"/>
    <w:rsid w:val="00535FCF"/>
    <w:rsid w:val="00537E4B"/>
    <w:rsid w:val="00542485"/>
    <w:rsid w:val="0056524B"/>
    <w:rsid w:val="005A053D"/>
    <w:rsid w:val="005A7DD2"/>
    <w:rsid w:val="005C7907"/>
    <w:rsid w:val="005E3242"/>
    <w:rsid w:val="005E36A0"/>
    <w:rsid w:val="005F6C6A"/>
    <w:rsid w:val="00615E09"/>
    <w:rsid w:val="00667745"/>
    <w:rsid w:val="00670EB2"/>
    <w:rsid w:val="00672734"/>
    <w:rsid w:val="00673F2C"/>
    <w:rsid w:val="00684012"/>
    <w:rsid w:val="00693544"/>
    <w:rsid w:val="006E2E15"/>
    <w:rsid w:val="006E5001"/>
    <w:rsid w:val="00714CF1"/>
    <w:rsid w:val="007160E0"/>
    <w:rsid w:val="00723F61"/>
    <w:rsid w:val="00731F41"/>
    <w:rsid w:val="00737D01"/>
    <w:rsid w:val="007435DE"/>
    <w:rsid w:val="00747861"/>
    <w:rsid w:val="00761829"/>
    <w:rsid w:val="00786A33"/>
    <w:rsid w:val="00792E96"/>
    <w:rsid w:val="007A2D28"/>
    <w:rsid w:val="007A333A"/>
    <w:rsid w:val="007A65BB"/>
    <w:rsid w:val="007C1E29"/>
    <w:rsid w:val="007C5109"/>
    <w:rsid w:val="007D5F55"/>
    <w:rsid w:val="007E2822"/>
    <w:rsid w:val="00821221"/>
    <w:rsid w:val="00830565"/>
    <w:rsid w:val="00831985"/>
    <w:rsid w:val="00877E84"/>
    <w:rsid w:val="0088689B"/>
    <w:rsid w:val="0089136A"/>
    <w:rsid w:val="008A443E"/>
    <w:rsid w:val="008A4A25"/>
    <w:rsid w:val="008A5957"/>
    <w:rsid w:val="008A6F52"/>
    <w:rsid w:val="008B728F"/>
    <w:rsid w:val="008C3F12"/>
    <w:rsid w:val="008E35A8"/>
    <w:rsid w:val="00906E96"/>
    <w:rsid w:val="00913A54"/>
    <w:rsid w:val="00917E33"/>
    <w:rsid w:val="00922586"/>
    <w:rsid w:val="00924940"/>
    <w:rsid w:val="009466A9"/>
    <w:rsid w:val="009514A3"/>
    <w:rsid w:val="00976B8E"/>
    <w:rsid w:val="009916B6"/>
    <w:rsid w:val="00993C5F"/>
    <w:rsid w:val="009A7528"/>
    <w:rsid w:val="009B61FA"/>
    <w:rsid w:val="009E1D64"/>
    <w:rsid w:val="00A22F13"/>
    <w:rsid w:val="00A46C6C"/>
    <w:rsid w:val="00A76552"/>
    <w:rsid w:val="00AA323F"/>
    <w:rsid w:val="00AA5029"/>
    <w:rsid w:val="00AA5248"/>
    <w:rsid w:val="00AD11F7"/>
    <w:rsid w:val="00AE1594"/>
    <w:rsid w:val="00AF2624"/>
    <w:rsid w:val="00AF2BCF"/>
    <w:rsid w:val="00AF752A"/>
    <w:rsid w:val="00B048F4"/>
    <w:rsid w:val="00B11D57"/>
    <w:rsid w:val="00B16435"/>
    <w:rsid w:val="00B245DF"/>
    <w:rsid w:val="00B41573"/>
    <w:rsid w:val="00B51CE2"/>
    <w:rsid w:val="00B52651"/>
    <w:rsid w:val="00B7046C"/>
    <w:rsid w:val="00B704EA"/>
    <w:rsid w:val="00B73375"/>
    <w:rsid w:val="00B7512B"/>
    <w:rsid w:val="00B80625"/>
    <w:rsid w:val="00BA1CB5"/>
    <w:rsid w:val="00BB2775"/>
    <w:rsid w:val="00BB762D"/>
    <w:rsid w:val="00BC049B"/>
    <w:rsid w:val="00BF5181"/>
    <w:rsid w:val="00C20CB0"/>
    <w:rsid w:val="00C252D5"/>
    <w:rsid w:val="00C71D6D"/>
    <w:rsid w:val="00C75F6E"/>
    <w:rsid w:val="00C91904"/>
    <w:rsid w:val="00C91C18"/>
    <w:rsid w:val="00CA1DF2"/>
    <w:rsid w:val="00CA7709"/>
    <w:rsid w:val="00CA7E17"/>
    <w:rsid w:val="00CB704F"/>
    <w:rsid w:val="00CC66DD"/>
    <w:rsid w:val="00CE186C"/>
    <w:rsid w:val="00CE5DE4"/>
    <w:rsid w:val="00CF03BF"/>
    <w:rsid w:val="00CF3A6C"/>
    <w:rsid w:val="00CF7B62"/>
    <w:rsid w:val="00D3517E"/>
    <w:rsid w:val="00D66E49"/>
    <w:rsid w:val="00D71127"/>
    <w:rsid w:val="00D81F55"/>
    <w:rsid w:val="00D938C7"/>
    <w:rsid w:val="00D952E9"/>
    <w:rsid w:val="00D95D69"/>
    <w:rsid w:val="00DD11CB"/>
    <w:rsid w:val="00E16975"/>
    <w:rsid w:val="00E31AE4"/>
    <w:rsid w:val="00E3404C"/>
    <w:rsid w:val="00E47682"/>
    <w:rsid w:val="00E53522"/>
    <w:rsid w:val="00E54BAA"/>
    <w:rsid w:val="00E61F53"/>
    <w:rsid w:val="00E97FEB"/>
    <w:rsid w:val="00EA28F8"/>
    <w:rsid w:val="00EB51A6"/>
    <w:rsid w:val="00EC7440"/>
    <w:rsid w:val="00ED6504"/>
    <w:rsid w:val="00ED6FB2"/>
    <w:rsid w:val="00F02185"/>
    <w:rsid w:val="00F06470"/>
    <w:rsid w:val="00F3144E"/>
    <w:rsid w:val="00F32337"/>
    <w:rsid w:val="00F430C0"/>
    <w:rsid w:val="00F91F4B"/>
    <w:rsid w:val="00F945AA"/>
    <w:rsid w:val="00FA51BA"/>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DCE8A"/>
  <w14:defaultImageDpi w14:val="300"/>
  <w15:docId w15:val="{4B84E39B-4344-E240-BAB6-A7BE9C0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22" w:unhideWhenUsed="1" w:qFormat="1"/>
    <w:lsdException w:name="heading 7" w:semiHidden="1" w:uiPriority="22" w:unhideWhenUsed="1" w:qFormat="1"/>
    <w:lsdException w:name="heading 8" w:semiHidden="1" w:uiPriority="22" w:unhideWhenUsed="1" w:qFormat="1"/>
    <w:lsdException w:name="heading 9" w:semiHidden="1" w:uiPriority="2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52" w:unhideWhenUsed="1"/>
    <w:lsdException w:name="toc 5" w:semiHidden="1" w:uiPriority="52"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35"/>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2"/>
    <w:lsdException w:name="Intense Quote" w:uiPriority="4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2" w:qFormat="1"/>
    <w:lsdException w:name="Intense Emphasis" w:uiPriority="21" w:qFormat="1"/>
    <w:lsdException w:name="Subtle Reference" w:uiPriority="44"/>
    <w:lsdException w:name="Intense Reference" w:uiPriority="45"/>
    <w:lsdException w:name="Book Title" w:uiPriority="33"/>
    <w:lsdException w:name="Bibliography" w:semiHidden="1" w:uiPriority="5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Q Normal"/>
    <w:qFormat/>
    <w:rsid w:val="00F430C0"/>
    <w:pPr>
      <w:spacing w:before="180" w:after="180"/>
    </w:pPr>
    <w:rPr>
      <w:color w:val="3C3C3B" w:themeColor="text1"/>
      <w:sz w:val="20"/>
    </w:rPr>
  </w:style>
  <w:style w:type="paragraph" w:styleId="Heading1">
    <w:name w:val="heading 1"/>
    <w:aliases w:val="LAQ Heading 1"/>
    <w:basedOn w:val="Normal"/>
    <w:next w:val="Normal"/>
    <w:link w:val="Heading1Char"/>
    <w:uiPriority w:val="2"/>
    <w:qFormat/>
    <w:rsid w:val="00BF5181"/>
    <w:pPr>
      <w:keepNext/>
      <w:keepLines/>
      <w:spacing w:before="480" w:after="200"/>
      <w:outlineLvl w:val="0"/>
    </w:pPr>
    <w:rPr>
      <w:rFonts w:asciiTheme="majorHAnsi" w:eastAsiaTheme="majorEastAsia" w:hAnsiTheme="majorHAnsi" w:cstheme="majorBidi"/>
      <w:b/>
      <w:bCs/>
      <w:color w:val="005288" w:themeColor="text2"/>
      <w:sz w:val="36"/>
      <w:szCs w:val="32"/>
    </w:rPr>
  </w:style>
  <w:style w:type="paragraph" w:styleId="Heading2">
    <w:name w:val="heading 2"/>
    <w:aliases w:val="LAQ Heading 2"/>
    <w:basedOn w:val="Normal"/>
    <w:next w:val="Normal"/>
    <w:link w:val="Heading2Char"/>
    <w:uiPriority w:val="2"/>
    <w:unhideWhenUsed/>
    <w:qFormat/>
    <w:rsid w:val="00BF5181"/>
    <w:pPr>
      <w:keepNext/>
      <w:keepLines/>
      <w:spacing w:before="300"/>
      <w:outlineLvl w:val="1"/>
    </w:pPr>
    <w:rPr>
      <w:rFonts w:asciiTheme="majorHAnsi" w:eastAsiaTheme="majorEastAsia" w:hAnsiTheme="majorHAnsi" w:cstheme="majorBidi"/>
      <w:b/>
      <w:bCs/>
      <w:color w:val="005288" w:themeColor="text2"/>
      <w:sz w:val="28"/>
      <w:szCs w:val="26"/>
    </w:rPr>
  </w:style>
  <w:style w:type="paragraph" w:styleId="Heading3">
    <w:name w:val="heading 3"/>
    <w:aliases w:val="LAQ Heading 3"/>
    <w:basedOn w:val="Normal"/>
    <w:next w:val="Normal"/>
    <w:link w:val="Heading3Char"/>
    <w:uiPriority w:val="2"/>
    <w:unhideWhenUsed/>
    <w:qFormat/>
    <w:rsid w:val="00BF5181"/>
    <w:pPr>
      <w:keepNext/>
      <w:keepLines/>
      <w:spacing w:before="300"/>
      <w:outlineLvl w:val="2"/>
    </w:pPr>
    <w:rPr>
      <w:rFonts w:asciiTheme="majorHAnsi" w:eastAsiaTheme="majorEastAsia" w:hAnsiTheme="majorHAnsi" w:cstheme="majorBidi"/>
      <w:b/>
      <w:bCs/>
      <w:color w:val="005288" w:themeColor="text2"/>
      <w:sz w:val="26"/>
    </w:rPr>
  </w:style>
  <w:style w:type="paragraph" w:styleId="Heading4">
    <w:name w:val="heading 4"/>
    <w:aliases w:val="LAQ Heading 4"/>
    <w:basedOn w:val="Normal"/>
    <w:next w:val="Normal"/>
    <w:link w:val="Heading4Char"/>
    <w:uiPriority w:val="2"/>
    <w:unhideWhenUsed/>
    <w:qFormat/>
    <w:rsid w:val="00BF5181"/>
    <w:pPr>
      <w:keepNext/>
      <w:keepLines/>
      <w:spacing w:after="60"/>
      <w:outlineLvl w:val="3"/>
    </w:pPr>
    <w:rPr>
      <w:rFonts w:asciiTheme="majorHAnsi" w:eastAsiaTheme="majorEastAsia" w:hAnsiTheme="majorHAnsi" w:cstheme="majorBidi"/>
      <w:b/>
      <w:bCs/>
      <w:iCs/>
      <w:color w:val="005288" w:themeColor="text2"/>
    </w:rPr>
  </w:style>
  <w:style w:type="paragraph" w:styleId="Heading5">
    <w:name w:val="heading 5"/>
    <w:basedOn w:val="Normal"/>
    <w:next w:val="Normal"/>
    <w:link w:val="Heading5Char"/>
    <w:uiPriority w:val="22"/>
    <w:semiHidden/>
    <w:unhideWhenUsed/>
    <w:rsid w:val="005060F4"/>
    <w:pPr>
      <w:keepNext/>
      <w:keepLines/>
      <w:spacing w:before="200" w:after="0"/>
      <w:outlineLvl w:val="4"/>
    </w:pPr>
    <w:rPr>
      <w:rFonts w:asciiTheme="majorHAnsi" w:eastAsiaTheme="majorEastAsia" w:hAnsiTheme="majorHAnsi" w:cstheme="majorBidi"/>
      <w:color w:val="1A66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ocument Title"/>
    <w:basedOn w:val="Normal"/>
    <w:link w:val="HeaderChar"/>
    <w:uiPriority w:val="14"/>
    <w:unhideWhenUsed/>
    <w:rsid w:val="000B35AD"/>
    <w:pPr>
      <w:tabs>
        <w:tab w:val="center" w:pos="4320"/>
        <w:tab w:val="right" w:pos="8640"/>
      </w:tabs>
    </w:pPr>
  </w:style>
  <w:style w:type="character" w:customStyle="1" w:styleId="HeaderChar">
    <w:name w:val="Header Char"/>
    <w:aliases w:val="Document Title Char"/>
    <w:basedOn w:val="DefaultParagraphFont"/>
    <w:link w:val="Header"/>
    <w:uiPriority w:val="14"/>
    <w:rsid w:val="008A4A25"/>
    <w:rPr>
      <w:color w:val="3C3C3B" w:themeColor="text1"/>
      <w:sz w:val="20"/>
    </w:rPr>
  </w:style>
  <w:style w:type="paragraph" w:styleId="Footer">
    <w:name w:val="footer"/>
    <w:basedOn w:val="Normal"/>
    <w:link w:val="FooterChar"/>
    <w:uiPriority w:val="99"/>
    <w:unhideWhenUsed/>
    <w:rsid w:val="000B35AD"/>
    <w:pPr>
      <w:tabs>
        <w:tab w:val="center" w:pos="4320"/>
        <w:tab w:val="right" w:pos="8640"/>
      </w:tabs>
    </w:pPr>
  </w:style>
  <w:style w:type="character" w:customStyle="1" w:styleId="FooterChar">
    <w:name w:val="Footer Char"/>
    <w:basedOn w:val="DefaultParagraphFont"/>
    <w:link w:val="Footer"/>
    <w:uiPriority w:val="99"/>
    <w:rsid w:val="000B35AD"/>
  </w:style>
  <w:style w:type="paragraph" w:styleId="BalloonText">
    <w:name w:val="Balloon Text"/>
    <w:basedOn w:val="Normal"/>
    <w:link w:val="BalloonTextChar"/>
    <w:uiPriority w:val="14"/>
    <w:unhideWhenUsed/>
    <w:rsid w:val="005A7DD2"/>
    <w:rPr>
      <w:rFonts w:ascii="Lucida Grande" w:hAnsi="Lucida Grande"/>
      <w:sz w:val="18"/>
      <w:szCs w:val="18"/>
    </w:rPr>
  </w:style>
  <w:style w:type="character" w:customStyle="1" w:styleId="BalloonTextChar">
    <w:name w:val="Balloon Text Char"/>
    <w:basedOn w:val="DefaultParagraphFont"/>
    <w:link w:val="BalloonText"/>
    <w:uiPriority w:val="14"/>
    <w:rsid w:val="008A4A25"/>
    <w:rPr>
      <w:rFonts w:ascii="Lucida Grande" w:hAnsi="Lucida Grande"/>
      <w:color w:val="3C3C3B" w:themeColor="text1"/>
      <w:sz w:val="18"/>
      <w:szCs w:val="18"/>
    </w:rPr>
  </w:style>
  <w:style w:type="character" w:customStyle="1" w:styleId="Heading1Char">
    <w:name w:val="Heading 1 Char"/>
    <w:aliases w:val="LAQ Heading 1 Char"/>
    <w:basedOn w:val="DefaultParagraphFont"/>
    <w:link w:val="Heading1"/>
    <w:uiPriority w:val="2"/>
    <w:rsid w:val="00BF5181"/>
    <w:rPr>
      <w:rFonts w:asciiTheme="majorHAnsi" w:eastAsiaTheme="majorEastAsia" w:hAnsiTheme="majorHAnsi" w:cstheme="majorBidi"/>
      <w:b/>
      <w:bCs/>
      <w:color w:val="005288" w:themeColor="text2"/>
      <w:sz w:val="36"/>
      <w:szCs w:val="32"/>
    </w:rPr>
  </w:style>
  <w:style w:type="character" w:customStyle="1" w:styleId="Heading2Char">
    <w:name w:val="Heading 2 Char"/>
    <w:aliases w:val="LAQ Heading 2 Char"/>
    <w:basedOn w:val="DefaultParagraphFont"/>
    <w:link w:val="Heading2"/>
    <w:uiPriority w:val="2"/>
    <w:rsid w:val="00BF5181"/>
    <w:rPr>
      <w:rFonts w:asciiTheme="majorHAnsi" w:eastAsiaTheme="majorEastAsia" w:hAnsiTheme="majorHAnsi" w:cstheme="majorBidi"/>
      <w:b/>
      <w:bCs/>
      <w:color w:val="005288" w:themeColor="text2"/>
      <w:sz w:val="28"/>
      <w:szCs w:val="26"/>
    </w:rPr>
  </w:style>
  <w:style w:type="character" w:customStyle="1" w:styleId="Heading3Char">
    <w:name w:val="Heading 3 Char"/>
    <w:aliases w:val="LAQ Heading 3 Char"/>
    <w:basedOn w:val="DefaultParagraphFont"/>
    <w:link w:val="Heading3"/>
    <w:uiPriority w:val="2"/>
    <w:rsid w:val="00BF5181"/>
    <w:rPr>
      <w:rFonts w:asciiTheme="majorHAnsi" w:eastAsiaTheme="majorEastAsia" w:hAnsiTheme="majorHAnsi" w:cstheme="majorBidi"/>
      <w:b/>
      <w:bCs/>
      <w:color w:val="005288" w:themeColor="text2"/>
      <w:sz w:val="26"/>
    </w:rPr>
  </w:style>
  <w:style w:type="character" w:customStyle="1" w:styleId="Heading4Char">
    <w:name w:val="Heading 4 Char"/>
    <w:aliases w:val="LAQ Heading 4 Char"/>
    <w:basedOn w:val="DefaultParagraphFont"/>
    <w:link w:val="Heading4"/>
    <w:uiPriority w:val="2"/>
    <w:rsid w:val="00BF5181"/>
    <w:rPr>
      <w:rFonts w:asciiTheme="majorHAnsi" w:eastAsiaTheme="majorEastAsia" w:hAnsiTheme="majorHAnsi" w:cstheme="majorBidi"/>
      <w:b/>
      <w:bCs/>
      <w:iCs/>
      <w:color w:val="005288" w:themeColor="text2"/>
      <w:sz w:val="20"/>
    </w:rPr>
  </w:style>
  <w:style w:type="paragraph" w:styleId="Subtitle">
    <w:name w:val="Subtitle"/>
    <w:aliases w:val="LAQ Front Page Header title"/>
    <w:basedOn w:val="Heading2"/>
    <w:next w:val="Normal"/>
    <w:link w:val="SubtitleChar"/>
    <w:uiPriority w:val="24"/>
    <w:qFormat/>
    <w:rsid w:val="00976B8E"/>
    <w:pPr>
      <w:spacing w:before="0" w:after="60"/>
    </w:pPr>
  </w:style>
  <w:style w:type="character" w:customStyle="1" w:styleId="SubtitleChar">
    <w:name w:val="Subtitle Char"/>
    <w:aliases w:val="LAQ Front Page Header title Char"/>
    <w:basedOn w:val="DefaultParagraphFont"/>
    <w:link w:val="Subtitle"/>
    <w:uiPriority w:val="24"/>
    <w:rsid w:val="00976B8E"/>
    <w:rPr>
      <w:rFonts w:asciiTheme="majorHAnsi" w:eastAsiaTheme="majorEastAsia" w:hAnsiTheme="majorHAnsi" w:cstheme="majorBidi"/>
      <w:b/>
      <w:bCs/>
      <w:color w:val="005288" w:themeColor="text2"/>
      <w:sz w:val="28"/>
      <w:szCs w:val="26"/>
    </w:rPr>
  </w:style>
  <w:style w:type="character" w:styleId="SubtleEmphasis">
    <w:name w:val="Subtle Emphasis"/>
    <w:aliases w:val="LAQ Front Page Header Subtitle"/>
    <w:uiPriority w:val="32"/>
    <w:qFormat/>
    <w:rsid w:val="00976B8E"/>
    <w:rPr>
      <w:color w:val="005288" w:themeColor="text2"/>
      <w:sz w:val="24"/>
    </w:rPr>
  </w:style>
  <w:style w:type="paragraph" w:styleId="ListParagraph">
    <w:name w:val="List Paragraph"/>
    <w:aliases w:val="LAQ Bullets"/>
    <w:basedOn w:val="Normal"/>
    <w:uiPriority w:val="1"/>
    <w:qFormat/>
    <w:rsid w:val="008C3F12"/>
    <w:pPr>
      <w:numPr>
        <w:numId w:val="2"/>
      </w:numPr>
      <w:spacing w:before="60" w:after="60"/>
      <w:ind w:right="1134"/>
      <w:contextualSpacing/>
    </w:pPr>
    <w:rPr>
      <w:szCs w:val="20"/>
    </w:rPr>
  </w:style>
  <w:style w:type="character" w:styleId="BookTitle">
    <w:name w:val="Book Title"/>
    <w:aliases w:val="Numbering"/>
    <w:basedOn w:val="DefaultParagraphFont"/>
    <w:uiPriority w:val="46"/>
    <w:rsid w:val="00ED6504"/>
  </w:style>
  <w:style w:type="paragraph" w:customStyle="1" w:styleId="LAQNumbering-standard">
    <w:name w:val="LAQ Numbering - standard"/>
    <w:basedOn w:val="ListParagraph"/>
    <w:uiPriority w:val="2"/>
    <w:qFormat/>
    <w:rsid w:val="00ED6504"/>
    <w:pPr>
      <w:numPr>
        <w:numId w:val="1"/>
      </w:numPr>
      <w:ind w:left="568" w:hanging="284"/>
    </w:pPr>
  </w:style>
  <w:style w:type="paragraph" w:customStyle="1" w:styleId="LAQNumberingRomanNumerals">
    <w:name w:val="LAQ Numbering Roman Numerals"/>
    <w:basedOn w:val="Normal"/>
    <w:uiPriority w:val="2"/>
    <w:qFormat/>
    <w:rsid w:val="00CB704F"/>
    <w:pPr>
      <w:numPr>
        <w:numId w:val="3"/>
      </w:numPr>
      <w:spacing w:before="60" w:after="60" w:line="300" w:lineRule="auto"/>
      <w:ind w:left="568" w:right="1134" w:hanging="284"/>
    </w:pPr>
  </w:style>
  <w:style w:type="paragraph" w:customStyle="1" w:styleId="LAQNumbering11etc">
    <w:name w:val="LAQ Numbering 1.1 etc"/>
    <w:basedOn w:val="Normal"/>
    <w:uiPriority w:val="2"/>
    <w:qFormat/>
    <w:rsid w:val="00CB704F"/>
    <w:pPr>
      <w:numPr>
        <w:numId w:val="4"/>
      </w:numPr>
      <w:spacing w:before="60" w:after="60"/>
      <w:ind w:right="1134"/>
    </w:pPr>
  </w:style>
  <w:style w:type="character" w:styleId="Hyperlink">
    <w:name w:val="Hyperlink"/>
    <w:basedOn w:val="DefaultParagraphFont"/>
    <w:uiPriority w:val="99"/>
    <w:unhideWhenUsed/>
    <w:rsid w:val="00AF2624"/>
    <w:rPr>
      <w:color w:val="005288" w:themeColor="hyperlink"/>
      <w:u w:val="single"/>
    </w:rPr>
  </w:style>
  <w:style w:type="paragraph" w:customStyle="1" w:styleId="LAQCourtNo1">
    <w:name w:val="LAQ_CourtNo1"/>
    <w:basedOn w:val="Normal"/>
    <w:uiPriority w:val="5"/>
    <w:rsid w:val="00B16435"/>
    <w:pPr>
      <w:numPr>
        <w:numId w:val="5"/>
      </w:numPr>
      <w:spacing w:before="0" w:after="100" w:line="360" w:lineRule="auto"/>
    </w:pPr>
    <w:rPr>
      <w:rFonts w:ascii="Arial" w:eastAsia="Times New Roman" w:hAnsi="Arial" w:cs="Times New Roman"/>
      <w:color w:val="auto"/>
      <w:sz w:val="22"/>
      <w:szCs w:val="20"/>
    </w:rPr>
  </w:style>
  <w:style w:type="paragraph" w:customStyle="1" w:styleId="LAQCourtNo2">
    <w:name w:val="LAQ_CourtNo2"/>
    <w:basedOn w:val="Normal"/>
    <w:uiPriority w:val="5"/>
    <w:rsid w:val="00B16435"/>
    <w:pPr>
      <w:numPr>
        <w:ilvl w:val="1"/>
        <w:numId w:val="5"/>
      </w:numPr>
      <w:spacing w:before="0" w:after="100" w:line="360" w:lineRule="auto"/>
    </w:pPr>
    <w:rPr>
      <w:rFonts w:ascii="Arial" w:eastAsia="Times New Roman" w:hAnsi="Arial" w:cs="Times New Roman"/>
      <w:color w:val="auto"/>
      <w:sz w:val="22"/>
      <w:szCs w:val="20"/>
    </w:rPr>
  </w:style>
  <w:style w:type="paragraph" w:customStyle="1" w:styleId="LAQCourtNo3">
    <w:name w:val="LAQ_CourtNo3"/>
    <w:basedOn w:val="Normal"/>
    <w:uiPriority w:val="5"/>
    <w:rsid w:val="00B16435"/>
    <w:pPr>
      <w:numPr>
        <w:ilvl w:val="2"/>
        <w:numId w:val="5"/>
      </w:numPr>
      <w:spacing w:before="0" w:after="100" w:line="360" w:lineRule="auto"/>
    </w:pPr>
    <w:rPr>
      <w:rFonts w:ascii="Arial" w:eastAsia="Times New Roman" w:hAnsi="Arial" w:cs="Times New Roman"/>
      <w:color w:val="auto"/>
      <w:sz w:val="22"/>
      <w:szCs w:val="20"/>
    </w:rPr>
  </w:style>
  <w:style w:type="paragraph" w:customStyle="1" w:styleId="LAQStdNo1">
    <w:name w:val="LAQ_StdNo1"/>
    <w:basedOn w:val="Normal"/>
    <w:uiPriority w:val="4"/>
    <w:rsid w:val="00B16435"/>
    <w:pPr>
      <w:numPr>
        <w:numId w:val="6"/>
      </w:numPr>
      <w:tabs>
        <w:tab w:val="clear" w:pos="823"/>
        <w:tab w:val="left" w:pos="-181"/>
        <w:tab w:val="num" w:pos="539"/>
      </w:tabs>
      <w:spacing w:before="0"/>
      <w:ind w:left="-181"/>
    </w:pPr>
    <w:rPr>
      <w:rFonts w:ascii="Arial" w:eastAsia="Times New Roman" w:hAnsi="Arial" w:cs="Times New Roman"/>
      <w:color w:val="auto"/>
      <w:sz w:val="22"/>
      <w:szCs w:val="20"/>
    </w:rPr>
  </w:style>
  <w:style w:type="paragraph" w:customStyle="1" w:styleId="LAQStdNo2">
    <w:name w:val="LAQ_StdNo2"/>
    <w:basedOn w:val="Normal"/>
    <w:uiPriority w:val="4"/>
    <w:rsid w:val="00B16435"/>
    <w:pPr>
      <w:numPr>
        <w:ilvl w:val="1"/>
        <w:numId w:val="6"/>
      </w:numPr>
      <w:tabs>
        <w:tab w:val="clear" w:pos="748"/>
        <w:tab w:val="left" w:pos="539"/>
        <w:tab w:val="num" w:pos="1287"/>
      </w:tabs>
      <w:spacing w:before="0"/>
      <w:ind w:left="539" w:hanging="720"/>
    </w:pPr>
    <w:rPr>
      <w:rFonts w:ascii="Arial" w:eastAsia="Times New Roman" w:hAnsi="Arial" w:cs="Times New Roman"/>
      <w:color w:val="auto"/>
      <w:sz w:val="22"/>
      <w:szCs w:val="20"/>
    </w:rPr>
  </w:style>
  <w:style w:type="paragraph" w:customStyle="1" w:styleId="LAQStdNo3">
    <w:name w:val="LAQ_StdNo3"/>
    <w:basedOn w:val="Normal"/>
    <w:uiPriority w:val="4"/>
    <w:rsid w:val="00B16435"/>
    <w:pPr>
      <w:numPr>
        <w:ilvl w:val="2"/>
        <w:numId w:val="6"/>
      </w:numPr>
      <w:tabs>
        <w:tab w:val="clear" w:pos="2257"/>
        <w:tab w:val="left" w:pos="1077"/>
      </w:tabs>
      <w:spacing w:before="0"/>
      <w:ind w:left="1441" w:hanging="902"/>
    </w:pPr>
    <w:rPr>
      <w:rFonts w:ascii="Arial" w:eastAsia="Times New Roman" w:hAnsi="Arial" w:cs="Times New Roman"/>
      <w:color w:val="auto"/>
      <w:sz w:val="22"/>
      <w:szCs w:val="20"/>
    </w:rPr>
  </w:style>
  <w:style w:type="paragraph" w:customStyle="1" w:styleId="LAQStdNo4">
    <w:name w:val="LAQ_StdNo4"/>
    <w:basedOn w:val="Normal"/>
    <w:uiPriority w:val="4"/>
    <w:rsid w:val="00B16435"/>
    <w:pPr>
      <w:numPr>
        <w:ilvl w:val="3"/>
        <w:numId w:val="6"/>
      </w:numPr>
      <w:spacing w:before="0"/>
    </w:pPr>
    <w:rPr>
      <w:rFonts w:ascii="Arial" w:eastAsia="Times New Roman" w:hAnsi="Arial" w:cs="Times New Roman"/>
      <w:color w:val="auto"/>
      <w:sz w:val="22"/>
      <w:szCs w:val="20"/>
    </w:rPr>
  </w:style>
  <w:style w:type="paragraph" w:customStyle="1" w:styleId="Footerpagenumber">
    <w:name w:val="Footer page number"/>
    <w:basedOn w:val="Footer"/>
    <w:uiPriority w:val="14"/>
    <w:rsid w:val="00B16435"/>
    <w:pPr>
      <w:spacing w:before="0" w:after="0"/>
      <w:ind w:left="-720"/>
    </w:pPr>
    <w:rPr>
      <w:rFonts w:ascii="Arial" w:eastAsia="Times New Roman" w:hAnsi="Arial" w:cs="Times New Roman"/>
      <w:color w:val="FFFFFF"/>
      <w:sz w:val="18"/>
    </w:rPr>
  </w:style>
  <w:style w:type="paragraph" w:customStyle="1" w:styleId="Footerdate">
    <w:name w:val="Footer date"/>
    <w:basedOn w:val="Footer"/>
    <w:uiPriority w:val="14"/>
    <w:rsid w:val="00B16435"/>
    <w:pPr>
      <w:spacing w:before="0" w:after="0"/>
      <w:ind w:left="851"/>
    </w:pPr>
    <w:rPr>
      <w:rFonts w:ascii="Arial" w:eastAsia="Times New Roman" w:hAnsi="Arial" w:cs="Times New Roman"/>
      <w:color w:val="FFFFFF"/>
      <w:sz w:val="18"/>
    </w:rPr>
  </w:style>
  <w:style w:type="character" w:styleId="PageNumber">
    <w:name w:val="page number"/>
    <w:uiPriority w:val="3"/>
    <w:rsid w:val="00ED6FB2"/>
    <w:rPr>
      <w:b/>
      <w:color w:val="005288" w:themeColor="text2"/>
      <w:sz w:val="16"/>
      <w:szCs w:val="16"/>
    </w:rPr>
  </w:style>
  <w:style w:type="table" w:styleId="TableGrid">
    <w:name w:val="Table Grid"/>
    <w:basedOn w:val="TableNormal"/>
    <w:rsid w:val="00D952E9"/>
    <w:pPr>
      <w:suppressAutoHyphens/>
    </w:pPr>
    <w:rPr>
      <w:rFonts w:eastAsia="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14"/>
    <w:rsid w:val="00B16435"/>
    <w:rPr>
      <w:sz w:val="16"/>
      <w:szCs w:val="16"/>
    </w:rPr>
  </w:style>
  <w:style w:type="paragraph" w:styleId="CommentText">
    <w:name w:val="annotation text"/>
    <w:basedOn w:val="Normal"/>
    <w:link w:val="CommentTextChar"/>
    <w:uiPriority w:val="14"/>
    <w:rsid w:val="00B16435"/>
    <w:pPr>
      <w:spacing w:before="0" w:after="0"/>
      <w:ind w:left="-720"/>
    </w:pPr>
    <w:rPr>
      <w:rFonts w:ascii="Arial" w:eastAsia="Times New Roman" w:hAnsi="Arial" w:cs="Times New Roman"/>
      <w:color w:val="auto"/>
      <w:szCs w:val="20"/>
    </w:rPr>
  </w:style>
  <w:style w:type="character" w:customStyle="1" w:styleId="CommentTextChar">
    <w:name w:val="Comment Text Char"/>
    <w:basedOn w:val="DefaultParagraphFont"/>
    <w:link w:val="CommentText"/>
    <w:uiPriority w:val="14"/>
    <w:rsid w:val="008A4A2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14"/>
    <w:rsid w:val="00B16435"/>
    <w:rPr>
      <w:b/>
      <w:bCs/>
    </w:rPr>
  </w:style>
  <w:style w:type="character" w:customStyle="1" w:styleId="CommentSubjectChar">
    <w:name w:val="Comment Subject Char"/>
    <w:basedOn w:val="CommentTextChar"/>
    <w:link w:val="CommentSubject"/>
    <w:uiPriority w:val="14"/>
    <w:rsid w:val="008A4A25"/>
    <w:rPr>
      <w:rFonts w:ascii="Arial" w:eastAsia="Times New Roman" w:hAnsi="Arial" w:cs="Times New Roman"/>
      <w:b/>
      <w:bCs/>
      <w:sz w:val="20"/>
      <w:szCs w:val="20"/>
    </w:rPr>
  </w:style>
  <w:style w:type="character" w:styleId="FollowedHyperlink">
    <w:name w:val="FollowedHyperlink"/>
    <w:uiPriority w:val="14"/>
    <w:rsid w:val="00ED6FB2"/>
    <w:rPr>
      <w:color w:val="45C3D3" w:themeColor="accent1"/>
      <w:u w:val="single"/>
    </w:rPr>
  </w:style>
  <w:style w:type="paragraph" w:styleId="FootnoteText">
    <w:name w:val="footnote text"/>
    <w:basedOn w:val="Normal"/>
    <w:link w:val="FootnoteTextChar"/>
    <w:uiPriority w:val="14"/>
    <w:rsid w:val="00B16435"/>
    <w:pPr>
      <w:spacing w:before="0" w:after="0"/>
      <w:ind w:left="-720"/>
    </w:pPr>
    <w:rPr>
      <w:rFonts w:ascii="Arial" w:eastAsia="Times New Roman" w:hAnsi="Arial" w:cs="Times New Roman"/>
      <w:color w:val="auto"/>
      <w:szCs w:val="20"/>
    </w:rPr>
  </w:style>
  <w:style w:type="character" w:customStyle="1" w:styleId="FootnoteTextChar">
    <w:name w:val="Footnote Text Char"/>
    <w:basedOn w:val="DefaultParagraphFont"/>
    <w:link w:val="FootnoteText"/>
    <w:uiPriority w:val="14"/>
    <w:rsid w:val="008A4A25"/>
    <w:rPr>
      <w:rFonts w:ascii="Arial" w:eastAsia="Times New Roman" w:hAnsi="Arial" w:cs="Times New Roman"/>
      <w:sz w:val="20"/>
      <w:szCs w:val="20"/>
    </w:rPr>
  </w:style>
  <w:style w:type="character" w:styleId="FootnoteReference">
    <w:name w:val="footnote reference"/>
    <w:uiPriority w:val="14"/>
    <w:rsid w:val="00B16435"/>
    <w:rPr>
      <w:vertAlign w:val="superscript"/>
    </w:rPr>
  </w:style>
  <w:style w:type="paragraph" w:styleId="NormalWeb">
    <w:name w:val="Normal (Web)"/>
    <w:basedOn w:val="Normal"/>
    <w:uiPriority w:val="99"/>
    <w:unhideWhenUsed/>
    <w:rsid w:val="00B16435"/>
    <w:pPr>
      <w:spacing w:before="100" w:beforeAutospacing="1" w:after="100" w:afterAutospacing="1"/>
    </w:pPr>
    <w:rPr>
      <w:rFonts w:ascii="Times New Roman" w:eastAsia="Times New Roman" w:hAnsi="Times New Roman" w:cs="Times New Roman"/>
      <w:color w:val="auto"/>
      <w:sz w:val="24"/>
      <w:lang w:val="en-AU" w:eastAsia="en-AU"/>
    </w:rPr>
  </w:style>
  <w:style w:type="paragraph" w:styleId="TOCHeading">
    <w:name w:val="TOC Heading"/>
    <w:basedOn w:val="Heading2"/>
    <w:next w:val="Normal"/>
    <w:uiPriority w:val="52"/>
    <w:unhideWhenUsed/>
    <w:qFormat/>
    <w:rsid w:val="00AA5248"/>
    <w:pPr>
      <w:spacing w:before="480" w:after="0" w:line="276" w:lineRule="auto"/>
      <w:outlineLvl w:val="9"/>
    </w:pPr>
    <w:rPr>
      <w:rFonts w:eastAsia="MS Gothic" w:cs="Times New Roman"/>
      <w:color w:val="365F91"/>
      <w:szCs w:val="28"/>
      <w:lang w:eastAsia="ja-JP"/>
    </w:rPr>
  </w:style>
  <w:style w:type="paragraph" w:styleId="TOC1">
    <w:name w:val="toc 1"/>
    <w:basedOn w:val="TOC2"/>
    <w:next w:val="Normal"/>
    <w:autoRedefine/>
    <w:uiPriority w:val="52"/>
    <w:qFormat/>
    <w:rsid w:val="00094C77"/>
  </w:style>
  <w:style w:type="paragraph" w:styleId="TOC2">
    <w:name w:val="toc 2"/>
    <w:basedOn w:val="Normal"/>
    <w:next w:val="Normal"/>
    <w:autoRedefine/>
    <w:uiPriority w:val="52"/>
    <w:qFormat/>
    <w:rsid w:val="00094C77"/>
    <w:pPr>
      <w:tabs>
        <w:tab w:val="left" w:pos="880"/>
        <w:tab w:val="right" w:leader="dot" w:pos="9622"/>
      </w:tabs>
      <w:spacing w:after="120"/>
    </w:pPr>
    <w:rPr>
      <w:rFonts w:ascii="Arial" w:eastAsiaTheme="majorEastAsia" w:hAnsi="Arial" w:cs="Times New Roman"/>
      <w:b/>
      <w:noProof/>
    </w:rPr>
  </w:style>
  <w:style w:type="paragraph" w:styleId="TOC3">
    <w:name w:val="toc 3"/>
    <w:basedOn w:val="Normal"/>
    <w:next w:val="Normal"/>
    <w:autoRedefine/>
    <w:uiPriority w:val="52"/>
    <w:qFormat/>
    <w:rsid w:val="00AA5248"/>
    <w:pPr>
      <w:tabs>
        <w:tab w:val="right" w:leader="dot" w:pos="9622"/>
      </w:tabs>
      <w:spacing w:before="0" w:after="0"/>
      <w:ind w:left="440"/>
    </w:pPr>
    <w:rPr>
      <w:rFonts w:ascii="Arial" w:eastAsiaTheme="majorEastAsia" w:hAnsi="Arial" w:cs="Arial"/>
      <w:noProof/>
      <w:color w:val="auto"/>
    </w:rPr>
  </w:style>
  <w:style w:type="paragraph" w:customStyle="1" w:styleId="LAQReference-caption">
    <w:name w:val="LAQ Reference - caption"/>
    <w:basedOn w:val="FootnoteText"/>
    <w:link w:val="LAQReference-captionChar"/>
    <w:uiPriority w:val="3"/>
    <w:qFormat/>
    <w:rsid w:val="00094C77"/>
    <w:pPr>
      <w:spacing w:before="60" w:after="60"/>
      <w:ind w:left="0"/>
    </w:pPr>
    <w:rPr>
      <w:rFonts w:cs="Arial"/>
      <w:color w:val="3C3C3B" w:themeColor="text1"/>
      <w:sz w:val="16"/>
      <w:szCs w:val="16"/>
      <w:lang w:val="en-AU" w:eastAsia="en-AU"/>
    </w:rPr>
  </w:style>
  <w:style w:type="character" w:styleId="IntenseEmphasis">
    <w:name w:val="Intense Emphasis"/>
    <w:aliases w:val="LAQ Optional Heading eg Case Studies"/>
    <w:basedOn w:val="Heading3Char"/>
    <w:uiPriority w:val="34"/>
    <w:qFormat/>
    <w:rsid w:val="007A2D28"/>
    <w:rPr>
      <w:rFonts w:asciiTheme="majorHAnsi" w:eastAsiaTheme="majorEastAsia" w:hAnsiTheme="majorHAnsi" w:cstheme="majorBidi"/>
      <w:b/>
      <w:bCs/>
      <w:i/>
      <w:iCs/>
      <w:color w:val="45C3D3" w:themeColor="accent1"/>
      <w:sz w:val="24"/>
    </w:rPr>
  </w:style>
  <w:style w:type="character" w:customStyle="1" w:styleId="LAQReference-captionChar">
    <w:name w:val="LAQ Reference - caption Char"/>
    <w:basedOn w:val="FootnoteTextChar"/>
    <w:link w:val="LAQReference-caption"/>
    <w:uiPriority w:val="3"/>
    <w:rsid w:val="00094C77"/>
    <w:rPr>
      <w:rFonts w:ascii="Arial" w:eastAsia="Times New Roman" w:hAnsi="Arial" w:cs="Arial"/>
      <w:color w:val="3C3C3B" w:themeColor="text1"/>
      <w:sz w:val="16"/>
      <w:szCs w:val="16"/>
      <w:lang w:val="en-AU" w:eastAsia="en-AU"/>
    </w:rPr>
  </w:style>
  <w:style w:type="paragraph" w:styleId="NoSpacing">
    <w:name w:val="No Spacing"/>
    <w:uiPriority w:val="14"/>
    <w:rsid w:val="005060F4"/>
    <w:rPr>
      <w:color w:val="3C3C3B" w:themeColor="text1"/>
      <w:sz w:val="20"/>
    </w:rPr>
  </w:style>
  <w:style w:type="character" w:customStyle="1" w:styleId="Heading5Char">
    <w:name w:val="Heading 5 Char"/>
    <w:basedOn w:val="DefaultParagraphFont"/>
    <w:link w:val="Heading5"/>
    <w:uiPriority w:val="22"/>
    <w:semiHidden/>
    <w:rsid w:val="008A4A25"/>
    <w:rPr>
      <w:rFonts w:asciiTheme="majorHAnsi" w:eastAsiaTheme="majorEastAsia" w:hAnsiTheme="majorHAnsi" w:cstheme="majorBidi"/>
      <w:color w:val="1A6670" w:themeColor="accent1" w:themeShade="7F"/>
      <w:sz w:val="20"/>
    </w:rPr>
  </w:style>
  <w:style w:type="paragraph" w:customStyle="1" w:styleId="LAQFootertext">
    <w:name w:val="LAQ Footer text"/>
    <w:basedOn w:val="Footer"/>
    <w:link w:val="LAQFootertextChar"/>
    <w:uiPriority w:val="3"/>
    <w:qFormat/>
    <w:rsid w:val="00615E09"/>
    <w:rPr>
      <w:color w:val="005288" w:themeColor="text2"/>
      <w:sz w:val="16"/>
      <w:szCs w:val="16"/>
    </w:rPr>
  </w:style>
  <w:style w:type="character" w:customStyle="1" w:styleId="LAQFootertextChar">
    <w:name w:val="LAQ Footer text Char"/>
    <w:basedOn w:val="FooterChar"/>
    <w:link w:val="LAQFootertext"/>
    <w:uiPriority w:val="3"/>
    <w:rsid w:val="00913A54"/>
    <w:rPr>
      <w:color w:val="005288" w:themeColor="text2"/>
      <w:sz w:val="16"/>
      <w:szCs w:val="16"/>
    </w:rPr>
  </w:style>
  <w:style w:type="table" w:styleId="ColorfulGrid-Accent6">
    <w:name w:val="Colorful Grid Accent 6"/>
    <w:basedOn w:val="TableNormal"/>
    <w:uiPriority w:val="73"/>
    <w:rsid w:val="00D952E9"/>
    <w:rPr>
      <w:color w:val="3C3C3B" w:themeColor="text1"/>
    </w:rPr>
    <w:tblPr>
      <w:tblStyleRowBandSize w:val="1"/>
      <w:tblStyleColBandSize w:val="1"/>
      <w:tblBorders>
        <w:insideH w:val="single" w:sz="4" w:space="0" w:color="FFFFFF" w:themeColor="background1"/>
      </w:tblBorders>
    </w:tblPr>
    <w:tcPr>
      <w:shd w:val="clear" w:color="auto" w:fill="ECDAED" w:themeFill="accent6" w:themeFillTint="33"/>
    </w:tcPr>
    <w:tblStylePr w:type="firstRow">
      <w:rPr>
        <w:b/>
        <w:bCs/>
      </w:rPr>
      <w:tblPr/>
      <w:tcPr>
        <w:shd w:val="clear" w:color="auto" w:fill="D9B5DB" w:themeFill="accent6" w:themeFillTint="66"/>
      </w:tcPr>
    </w:tblStylePr>
    <w:tblStylePr w:type="lastRow">
      <w:rPr>
        <w:b/>
        <w:bCs/>
        <w:color w:val="3C3C3B" w:themeColor="text1"/>
      </w:rPr>
      <w:tblPr/>
      <w:tcPr>
        <w:shd w:val="clear" w:color="auto" w:fill="D9B5DB" w:themeFill="accent6" w:themeFillTint="66"/>
      </w:tcPr>
    </w:tblStylePr>
    <w:tblStylePr w:type="firstCol">
      <w:rPr>
        <w:color w:val="FFFFFF" w:themeColor="background1"/>
      </w:rPr>
      <w:tblPr/>
      <w:tcPr>
        <w:shd w:val="clear" w:color="auto" w:fill="733976" w:themeFill="accent6" w:themeFillShade="BF"/>
      </w:tcPr>
    </w:tblStylePr>
    <w:tblStylePr w:type="lastCol">
      <w:rPr>
        <w:color w:val="FFFFFF" w:themeColor="background1"/>
      </w:rPr>
      <w:tblPr/>
      <w:tcPr>
        <w:shd w:val="clear" w:color="auto" w:fill="733976" w:themeFill="accent6" w:themeFillShade="BF"/>
      </w:tcPr>
    </w:tblStylePr>
    <w:tblStylePr w:type="band1Vert">
      <w:tblPr/>
      <w:tcPr>
        <w:shd w:val="clear" w:color="auto" w:fill="CFA2D2" w:themeFill="accent6" w:themeFillTint="7F"/>
      </w:tcPr>
    </w:tblStylePr>
    <w:tblStylePr w:type="band1Horz">
      <w:tblPr/>
      <w:tcPr>
        <w:shd w:val="clear" w:color="auto" w:fill="CFA2D2" w:themeFill="accent6" w:themeFillTint="7F"/>
      </w:tcPr>
    </w:tblStylePr>
  </w:style>
  <w:style w:type="table" w:styleId="LightShading">
    <w:name w:val="Light Shading"/>
    <w:basedOn w:val="TableNormal"/>
    <w:uiPriority w:val="60"/>
    <w:rsid w:val="00D952E9"/>
    <w:rPr>
      <w:color w:val="2C2C2C" w:themeColor="text1" w:themeShade="BF"/>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table" w:styleId="LightShading-Accent1">
    <w:name w:val="Light Shading Accent 1"/>
    <w:basedOn w:val="TableNormal"/>
    <w:uiPriority w:val="60"/>
    <w:rsid w:val="00D952E9"/>
    <w:rPr>
      <w:color w:val="289AA9" w:themeColor="accent1" w:themeShade="BF"/>
    </w:rPr>
    <w:tblPr>
      <w:tblStyleRowBandSize w:val="1"/>
      <w:tblStyleColBandSize w:val="1"/>
      <w:tblBorders>
        <w:top w:val="single" w:sz="8" w:space="0" w:color="45C3D3" w:themeColor="accent1"/>
        <w:bottom w:val="single" w:sz="8" w:space="0" w:color="45C3D3" w:themeColor="accent1"/>
      </w:tblBorders>
    </w:tblPr>
    <w:tblStylePr w:type="firstRow">
      <w:pPr>
        <w:spacing w:before="0" w:after="0" w:line="240" w:lineRule="auto"/>
      </w:pPr>
      <w:rPr>
        <w:b/>
        <w:bCs/>
      </w:rPr>
      <w:tblPr/>
      <w:tcPr>
        <w:tcBorders>
          <w:top w:val="single" w:sz="8" w:space="0" w:color="45C3D3" w:themeColor="accent1"/>
          <w:left w:val="nil"/>
          <w:bottom w:val="single" w:sz="8" w:space="0" w:color="45C3D3" w:themeColor="accent1"/>
          <w:right w:val="nil"/>
          <w:insideH w:val="nil"/>
          <w:insideV w:val="nil"/>
        </w:tcBorders>
      </w:tcPr>
    </w:tblStylePr>
    <w:tblStylePr w:type="lastRow">
      <w:pPr>
        <w:spacing w:before="0" w:after="0" w:line="240" w:lineRule="auto"/>
      </w:pPr>
      <w:rPr>
        <w:b/>
        <w:bCs/>
      </w:rPr>
      <w:tblPr/>
      <w:tcPr>
        <w:tcBorders>
          <w:top w:val="single" w:sz="8" w:space="0" w:color="45C3D3" w:themeColor="accent1"/>
          <w:left w:val="nil"/>
          <w:bottom w:val="single" w:sz="8" w:space="0" w:color="45C3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4" w:themeFill="accent1" w:themeFillTint="3F"/>
      </w:tcPr>
    </w:tblStylePr>
    <w:tblStylePr w:type="band1Horz">
      <w:tblPr/>
      <w:tcPr>
        <w:tcBorders>
          <w:left w:val="nil"/>
          <w:right w:val="nil"/>
          <w:insideH w:val="nil"/>
          <w:insideV w:val="nil"/>
        </w:tcBorders>
        <w:shd w:val="clear" w:color="auto" w:fill="D0F0F4" w:themeFill="accent1" w:themeFillTint="3F"/>
      </w:tcPr>
    </w:tblStylePr>
  </w:style>
  <w:style w:type="table" w:styleId="LightShading-Accent2">
    <w:name w:val="Light Shading Accent 2"/>
    <w:basedOn w:val="TableNormal"/>
    <w:uiPriority w:val="60"/>
    <w:rsid w:val="00D952E9"/>
    <w:rPr>
      <w:color w:val="5BBFD0" w:themeColor="accent2" w:themeShade="BF"/>
    </w:rPr>
    <w:tblPr>
      <w:tblStyleRowBandSize w:val="1"/>
      <w:tblStyleColBandSize w:val="1"/>
      <w:tblBorders>
        <w:top w:val="single" w:sz="8" w:space="0" w:color="AADEE7" w:themeColor="accent2"/>
        <w:bottom w:val="single" w:sz="8" w:space="0" w:color="AADEE7" w:themeColor="accent2"/>
      </w:tblBorders>
    </w:tblPr>
    <w:tblStylePr w:type="firstRow">
      <w:pPr>
        <w:spacing w:before="0" w:after="0" w:line="240" w:lineRule="auto"/>
      </w:pPr>
      <w:rPr>
        <w:b/>
        <w:bCs/>
      </w:rPr>
      <w:tblPr/>
      <w:tcPr>
        <w:tcBorders>
          <w:top w:val="single" w:sz="8" w:space="0" w:color="AADEE7" w:themeColor="accent2"/>
          <w:left w:val="nil"/>
          <w:bottom w:val="single" w:sz="8" w:space="0" w:color="AADEE7" w:themeColor="accent2"/>
          <w:right w:val="nil"/>
          <w:insideH w:val="nil"/>
          <w:insideV w:val="nil"/>
        </w:tcBorders>
      </w:tcPr>
    </w:tblStylePr>
    <w:tblStylePr w:type="lastRow">
      <w:pPr>
        <w:spacing w:before="0" w:after="0" w:line="240" w:lineRule="auto"/>
      </w:pPr>
      <w:rPr>
        <w:b/>
        <w:bCs/>
      </w:rPr>
      <w:tblPr/>
      <w:tcPr>
        <w:tcBorders>
          <w:top w:val="single" w:sz="8" w:space="0" w:color="AADEE7" w:themeColor="accent2"/>
          <w:left w:val="nil"/>
          <w:bottom w:val="single" w:sz="8" w:space="0" w:color="AADEE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9" w:themeFill="accent2" w:themeFillTint="3F"/>
      </w:tcPr>
    </w:tblStylePr>
    <w:tblStylePr w:type="band1Horz">
      <w:tblPr/>
      <w:tcPr>
        <w:tcBorders>
          <w:left w:val="nil"/>
          <w:right w:val="nil"/>
          <w:insideH w:val="nil"/>
          <w:insideV w:val="nil"/>
        </w:tcBorders>
        <w:shd w:val="clear" w:color="auto" w:fill="E9F6F9" w:themeFill="accent2" w:themeFillTint="3F"/>
      </w:tcPr>
    </w:tblStylePr>
  </w:style>
  <w:style w:type="table" w:styleId="LightShading-Accent3">
    <w:name w:val="Light Shading Accent 3"/>
    <w:basedOn w:val="TableNormal"/>
    <w:uiPriority w:val="60"/>
    <w:rsid w:val="00D952E9"/>
    <w:rPr>
      <w:color w:val="7FC9DB" w:themeColor="accent3" w:themeShade="BF"/>
    </w:rPr>
    <w:tblPr>
      <w:tblStyleRowBandSize w:val="1"/>
      <w:tblStyleColBandSize w:val="1"/>
      <w:tblBorders>
        <w:top w:val="single" w:sz="8" w:space="0" w:color="DBF0F5" w:themeColor="accent3"/>
        <w:bottom w:val="single" w:sz="8" w:space="0" w:color="DBF0F5" w:themeColor="accent3"/>
      </w:tblBorders>
    </w:tblPr>
    <w:tblStylePr w:type="firstRow">
      <w:pPr>
        <w:spacing w:before="0" w:after="0" w:line="240" w:lineRule="auto"/>
      </w:pPr>
      <w:rPr>
        <w:b/>
        <w:bCs/>
      </w:rPr>
      <w:tblPr/>
      <w:tcPr>
        <w:tcBorders>
          <w:top w:val="single" w:sz="8" w:space="0" w:color="DBF0F5" w:themeColor="accent3"/>
          <w:left w:val="nil"/>
          <w:bottom w:val="single" w:sz="8" w:space="0" w:color="DBF0F5" w:themeColor="accent3"/>
          <w:right w:val="nil"/>
          <w:insideH w:val="nil"/>
          <w:insideV w:val="nil"/>
        </w:tcBorders>
      </w:tcPr>
    </w:tblStylePr>
    <w:tblStylePr w:type="lastRow">
      <w:pPr>
        <w:spacing w:before="0" w:after="0" w:line="240" w:lineRule="auto"/>
      </w:pPr>
      <w:rPr>
        <w:b/>
        <w:bCs/>
      </w:rPr>
      <w:tblPr/>
      <w:tcPr>
        <w:tcBorders>
          <w:top w:val="single" w:sz="8" w:space="0" w:color="DBF0F5" w:themeColor="accent3"/>
          <w:left w:val="nil"/>
          <w:bottom w:val="single" w:sz="8" w:space="0" w:color="DBF0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BFC" w:themeFill="accent3" w:themeFillTint="3F"/>
      </w:tcPr>
    </w:tblStylePr>
    <w:tblStylePr w:type="band1Horz">
      <w:tblPr/>
      <w:tcPr>
        <w:tcBorders>
          <w:left w:val="nil"/>
          <w:right w:val="nil"/>
          <w:insideH w:val="nil"/>
          <w:insideV w:val="nil"/>
        </w:tcBorders>
        <w:shd w:val="clear" w:color="auto" w:fill="F5FBFC" w:themeFill="accent3" w:themeFillTint="3F"/>
      </w:tcPr>
    </w:tblStylePr>
  </w:style>
  <w:style w:type="table" w:styleId="LightShading-Accent4">
    <w:name w:val="Light Shading Accent 4"/>
    <w:basedOn w:val="TableNormal"/>
    <w:uiPriority w:val="60"/>
    <w:rsid w:val="00D952E9"/>
    <w:rPr>
      <w:color w:val="446C96" w:themeColor="accent4" w:themeShade="BF"/>
    </w:rPr>
    <w:tblPr>
      <w:tblStyleRowBandSize w:val="1"/>
      <w:tblStyleColBandSize w:val="1"/>
      <w:tblBorders>
        <w:top w:val="single" w:sz="8" w:space="0" w:color="6A92BB" w:themeColor="accent4"/>
        <w:bottom w:val="single" w:sz="8" w:space="0" w:color="6A92BB" w:themeColor="accent4"/>
      </w:tblBorders>
    </w:tblPr>
    <w:tblStylePr w:type="firstRow">
      <w:pPr>
        <w:spacing w:before="0" w:after="0" w:line="240" w:lineRule="auto"/>
      </w:pPr>
      <w:rPr>
        <w:b/>
        <w:bCs/>
      </w:rPr>
      <w:tblPr/>
      <w:tcPr>
        <w:tcBorders>
          <w:top w:val="single" w:sz="8" w:space="0" w:color="6A92BB" w:themeColor="accent4"/>
          <w:left w:val="nil"/>
          <w:bottom w:val="single" w:sz="8" w:space="0" w:color="6A92BB" w:themeColor="accent4"/>
          <w:right w:val="nil"/>
          <w:insideH w:val="nil"/>
          <w:insideV w:val="nil"/>
        </w:tcBorders>
      </w:tcPr>
    </w:tblStylePr>
    <w:tblStylePr w:type="lastRow">
      <w:pPr>
        <w:spacing w:before="0" w:after="0" w:line="240" w:lineRule="auto"/>
      </w:pPr>
      <w:rPr>
        <w:b/>
        <w:bCs/>
      </w:rPr>
      <w:tblPr/>
      <w:tcPr>
        <w:tcBorders>
          <w:top w:val="single" w:sz="8" w:space="0" w:color="6A92BB" w:themeColor="accent4"/>
          <w:left w:val="nil"/>
          <w:bottom w:val="single" w:sz="8" w:space="0" w:color="6A92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3EE" w:themeFill="accent4" w:themeFillTint="3F"/>
      </w:tcPr>
    </w:tblStylePr>
    <w:tblStylePr w:type="band1Horz">
      <w:tblPr/>
      <w:tcPr>
        <w:tcBorders>
          <w:left w:val="nil"/>
          <w:right w:val="nil"/>
          <w:insideH w:val="nil"/>
          <w:insideV w:val="nil"/>
        </w:tcBorders>
        <w:shd w:val="clear" w:color="auto" w:fill="DAE3EE" w:themeFill="accent4" w:themeFillTint="3F"/>
      </w:tcPr>
    </w:tblStylePr>
  </w:style>
  <w:style w:type="table" w:styleId="LightShading-Accent5">
    <w:name w:val="Light Shading Accent 5"/>
    <w:basedOn w:val="TableNormal"/>
    <w:uiPriority w:val="60"/>
    <w:rsid w:val="00D952E9"/>
    <w:rPr>
      <w:color w:val="7393C1" w:themeColor="accent5" w:themeShade="BF"/>
    </w:rPr>
    <w:tblPr>
      <w:tblStyleRowBandSize w:val="1"/>
      <w:tblStyleColBandSize w:val="1"/>
      <w:tblBorders>
        <w:top w:val="single" w:sz="8" w:space="0" w:color="BBCBE1" w:themeColor="accent5"/>
        <w:bottom w:val="single" w:sz="8" w:space="0" w:color="BBCBE1" w:themeColor="accent5"/>
      </w:tblBorders>
    </w:tblPr>
    <w:tblStylePr w:type="firstRow">
      <w:pPr>
        <w:spacing w:before="0" w:after="0" w:line="240" w:lineRule="auto"/>
      </w:pPr>
      <w:rPr>
        <w:b/>
        <w:bCs/>
      </w:rPr>
      <w:tblPr/>
      <w:tcPr>
        <w:tcBorders>
          <w:top w:val="single" w:sz="8" w:space="0" w:color="BBCBE1" w:themeColor="accent5"/>
          <w:left w:val="nil"/>
          <w:bottom w:val="single" w:sz="8" w:space="0" w:color="BBCBE1" w:themeColor="accent5"/>
          <w:right w:val="nil"/>
          <w:insideH w:val="nil"/>
          <w:insideV w:val="nil"/>
        </w:tcBorders>
      </w:tcPr>
    </w:tblStylePr>
    <w:tblStylePr w:type="lastRow">
      <w:pPr>
        <w:spacing w:before="0" w:after="0" w:line="240" w:lineRule="auto"/>
      </w:pPr>
      <w:rPr>
        <w:b/>
        <w:bCs/>
      </w:rPr>
      <w:tblPr/>
      <w:tcPr>
        <w:tcBorders>
          <w:top w:val="single" w:sz="8" w:space="0" w:color="BBCBE1" w:themeColor="accent5"/>
          <w:left w:val="nil"/>
          <w:bottom w:val="single" w:sz="8" w:space="0" w:color="BBCB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7" w:themeFill="accent5" w:themeFillTint="3F"/>
      </w:tcPr>
    </w:tblStylePr>
    <w:tblStylePr w:type="band1Horz">
      <w:tblPr/>
      <w:tcPr>
        <w:tcBorders>
          <w:left w:val="nil"/>
          <w:right w:val="nil"/>
          <w:insideH w:val="nil"/>
          <w:insideV w:val="nil"/>
        </w:tcBorders>
        <w:shd w:val="clear" w:color="auto" w:fill="EEF2F7" w:themeFill="accent5" w:themeFillTint="3F"/>
      </w:tcPr>
    </w:tblStylePr>
  </w:style>
  <w:style w:type="table" w:styleId="LightList">
    <w:name w:val="Light List"/>
    <w:basedOn w:val="TableNormal"/>
    <w:uiPriority w:val="61"/>
    <w:rsid w:val="00D952E9"/>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ghtList-Accent1">
    <w:name w:val="Light List Accent 1"/>
    <w:basedOn w:val="TableNormal"/>
    <w:uiPriority w:val="61"/>
    <w:rsid w:val="00D952E9"/>
    <w:tblPr>
      <w:tblStyleRowBandSize w:val="1"/>
      <w:tblStyleColBandSize w:val="1"/>
      <w:tblBorders>
        <w:top w:val="single" w:sz="8" w:space="0" w:color="45C3D3" w:themeColor="accent1"/>
        <w:left w:val="single" w:sz="8" w:space="0" w:color="45C3D3" w:themeColor="accent1"/>
        <w:bottom w:val="single" w:sz="8" w:space="0" w:color="45C3D3" w:themeColor="accent1"/>
        <w:right w:val="single" w:sz="8" w:space="0" w:color="45C3D3" w:themeColor="accent1"/>
      </w:tblBorders>
    </w:tblPr>
    <w:tblStylePr w:type="firstRow">
      <w:pPr>
        <w:spacing w:before="0" w:after="0" w:line="240" w:lineRule="auto"/>
      </w:pPr>
      <w:rPr>
        <w:b/>
        <w:bCs/>
        <w:color w:val="FFFFFF" w:themeColor="background1"/>
      </w:rPr>
      <w:tblPr/>
      <w:tcPr>
        <w:shd w:val="clear" w:color="auto" w:fill="45C3D3" w:themeFill="accent1"/>
      </w:tcPr>
    </w:tblStylePr>
    <w:tblStylePr w:type="lastRow">
      <w:pPr>
        <w:spacing w:before="0" w:after="0" w:line="240" w:lineRule="auto"/>
      </w:pPr>
      <w:rPr>
        <w:b/>
        <w:bCs/>
      </w:rPr>
      <w:tblPr/>
      <w:tcPr>
        <w:tcBorders>
          <w:top w:val="double" w:sz="6" w:space="0" w:color="45C3D3" w:themeColor="accent1"/>
          <w:left w:val="single" w:sz="8" w:space="0" w:color="45C3D3" w:themeColor="accent1"/>
          <w:bottom w:val="single" w:sz="8" w:space="0" w:color="45C3D3" w:themeColor="accent1"/>
          <w:right w:val="single" w:sz="8" w:space="0" w:color="45C3D3" w:themeColor="accent1"/>
        </w:tcBorders>
      </w:tcPr>
    </w:tblStylePr>
    <w:tblStylePr w:type="firstCol">
      <w:rPr>
        <w:b/>
        <w:bCs/>
      </w:rPr>
    </w:tblStylePr>
    <w:tblStylePr w:type="lastCol">
      <w:rPr>
        <w:b/>
        <w:bCs/>
      </w:rPr>
    </w:tblStylePr>
    <w:tblStylePr w:type="band1Vert">
      <w:tblPr/>
      <w:tcPr>
        <w:tcBorders>
          <w:top w:val="single" w:sz="8" w:space="0" w:color="45C3D3" w:themeColor="accent1"/>
          <w:left w:val="single" w:sz="8" w:space="0" w:color="45C3D3" w:themeColor="accent1"/>
          <w:bottom w:val="single" w:sz="8" w:space="0" w:color="45C3D3" w:themeColor="accent1"/>
          <w:right w:val="single" w:sz="8" w:space="0" w:color="45C3D3" w:themeColor="accent1"/>
        </w:tcBorders>
      </w:tcPr>
    </w:tblStylePr>
    <w:tblStylePr w:type="band1Horz">
      <w:tblPr/>
      <w:tcPr>
        <w:tcBorders>
          <w:top w:val="single" w:sz="8" w:space="0" w:color="45C3D3" w:themeColor="accent1"/>
          <w:left w:val="single" w:sz="8" w:space="0" w:color="45C3D3" w:themeColor="accent1"/>
          <w:bottom w:val="single" w:sz="8" w:space="0" w:color="45C3D3" w:themeColor="accent1"/>
          <w:right w:val="single" w:sz="8" w:space="0" w:color="45C3D3" w:themeColor="accent1"/>
        </w:tcBorders>
      </w:tcPr>
    </w:tblStylePr>
  </w:style>
  <w:style w:type="paragraph" w:customStyle="1" w:styleId="LAQTabletext">
    <w:name w:val="LAQ Table text"/>
    <w:basedOn w:val="Normal"/>
    <w:link w:val="LAQTabletextChar"/>
    <w:qFormat/>
    <w:rsid w:val="00AA5029"/>
    <w:pPr>
      <w:suppressAutoHyphens/>
      <w:spacing w:before="80" w:after="80"/>
    </w:pPr>
    <w:rPr>
      <w:rFonts w:eastAsia="Times New Roman" w:cs="Times New Roman"/>
      <w:szCs w:val="20"/>
      <w:lang w:val="en-AU" w:eastAsia="en-AU"/>
    </w:rPr>
  </w:style>
  <w:style w:type="character" w:customStyle="1" w:styleId="LAQTabletextChar">
    <w:name w:val="LAQ Table text Char"/>
    <w:basedOn w:val="DefaultParagraphFont"/>
    <w:link w:val="LAQTabletext"/>
    <w:rsid w:val="00AA5029"/>
    <w:rPr>
      <w:rFonts w:eastAsia="Times New Roman" w:cs="Times New Roman"/>
      <w:color w:val="3C3C3B" w:themeColor="text1"/>
      <w:sz w:val="20"/>
      <w:szCs w:val="20"/>
      <w:lang w:val="en-AU" w:eastAsia="en-AU"/>
    </w:rPr>
  </w:style>
  <w:style w:type="table" w:styleId="LightList-Accent4">
    <w:name w:val="Light List Accent 4"/>
    <w:basedOn w:val="TableNormal"/>
    <w:uiPriority w:val="61"/>
    <w:rsid w:val="009E1D64"/>
    <w:tblPr>
      <w:tblStyleRowBandSize w:val="1"/>
      <w:tblStyleColBandSize w:val="1"/>
      <w:tblBorders>
        <w:top w:val="single" w:sz="8" w:space="0" w:color="6A92BB" w:themeColor="accent4"/>
        <w:left w:val="single" w:sz="8" w:space="0" w:color="6A92BB" w:themeColor="accent4"/>
        <w:bottom w:val="single" w:sz="8" w:space="0" w:color="6A92BB" w:themeColor="accent4"/>
        <w:right w:val="single" w:sz="8" w:space="0" w:color="6A92BB" w:themeColor="accent4"/>
      </w:tblBorders>
    </w:tblPr>
    <w:tblStylePr w:type="firstRow">
      <w:pPr>
        <w:spacing w:before="0" w:after="0" w:line="240" w:lineRule="auto"/>
      </w:pPr>
      <w:rPr>
        <w:b/>
        <w:bCs/>
        <w:color w:val="FFFFFF" w:themeColor="background1"/>
      </w:rPr>
      <w:tblPr/>
      <w:tcPr>
        <w:shd w:val="clear" w:color="auto" w:fill="6A92BB" w:themeFill="accent4"/>
      </w:tcPr>
    </w:tblStylePr>
    <w:tblStylePr w:type="lastRow">
      <w:pPr>
        <w:spacing w:before="0" w:after="0" w:line="240" w:lineRule="auto"/>
      </w:pPr>
      <w:rPr>
        <w:b/>
        <w:bCs/>
      </w:rPr>
      <w:tblPr/>
      <w:tcPr>
        <w:tcBorders>
          <w:top w:val="double" w:sz="6" w:space="0" w:color="6A92BB" w:themeColor="accent4"/>
          <w:left w:val="single" w:sz="8" w:space="0" w:color="6A92BB" w:themeColor="accent4"/>
          <w:bottom w:val="single" w:sz="8" w:space="0" w:color="6A92BB" w:themeColor="accent4"/>
          <w:right w:val="single" w:sz="8" w:space="0" w:color="6A92BB" w:themeColor="accent4"/>
        </w:tcBorders>
      </w:tcPr>
    </w:tblStylePr>
    <w:tblStylePr w:type="firstCol">
      <w:rPr>
        <w:b/>
        <w:bCs/>
      </w:rPr>
    </w:tblStylePr>
    <w:tblStylePr w:type="lastCol">
      <w:rPr>
        <w:b/>
        <w:bCs/>
      </w:rPr>
    </w:tblStylePr>
    <w:tblStylePr w:type="band1Vert">
      <w:tblPr/>
      <w:tcPr>
        <w:tcBorders>
          <w:top w:val="single" w:sz="8" w:space="0" w:color="6A92BB" w:themeColor="accent4"/>
          <w:left w:val="single" w:sz="8" w:space="0" w:color="6A92BB" w:themeColor="accent4"/>
          <w:bottom w:val="single" w:sz="8" w:space="0" w:color="6A92BB" w:themeColor="accent4"/>
          <w:right w:val="single" w:sz="8" w:space="0" w:color="6A92BB" w:themeColor="accent4"/>
        </w:tcBorders>
      </w:tcPr>
    </w:tblStylePr>
    <w:tblStylePr w:type="band1Horz">
      <w:tblPr/>
      <w:tcPr>
        <w:tcBorders>
          <w:top w:val="single" w:sz="8" w:space="0" w:color="6A92BB" w:themeColor="accent4"/>
          <w:left w:val="single" w:sz="8" w:space="0" w:color="6A92BB" w:themeColor="accent4"/>
          <w:bottom w:val="single" w:sz="8" w:space="0" w:color="6A92BB" w:themeColor="accent4"/>
          <w:right w:val="single" w:sz="8" w:space="0" w:color="6A92BB" w:themeColor="accent4"/>
        </w:tcBorders>
      </w:tcPr>
    </w:tblStylePr>
  </w:style>
  <w:style w:type="table" w:customStyle="1" w:styleId="DarkBlue">
    <w:name w:val="Dark Blue"/>
    <w:basedOn w:val="TableNormal"/>
    <w:uiPriority w:val="99"/>
    <w:rsid w:val="00250501"/>
    <w:tblPr>
      <w:tblBorders>
        <w:top w:val="single" w:sz="4" w:space="0" w:color="005288" w:themeColor="text2"/>
        <w:left w:val="single" w:sz="4" w:space="0" w:color="005288" w:themeColor="text2"/>
        <w:bottom w:val="single" w:sz="4" w:space="0" w:color="005288" w:themeColor="text2"/>
        <w:right w:val="single" w:sz="4" w:space="0" w:color="005288" w:themeColor="text2"/>
        <w:insideH w:val="single" w:sz="4" w:space="0" w:color="005288" w:themeColor="text2"/>
        <w:insideV w:val="single" w:sz="4" w:space="0" w:color="005288" w:themeColor="text2"/>
      </w:tblBorders>
    </w:tblPr>
    <w:tblStylePr w:type="firstRow">
      <w:rPr>
        <w:rFonts w:asciiTheme="minorHAnsi" w:hAnsiTheme="minorHAnsi"/>
        <w:sz w:val="20"/>
      </w:rPr>
      <w:tblPr/>
      <w:tcPr>
        <w:tcBorders>
          <w:top w:val="single" w:sz="4" w:space="0" w:color="005288" w:themeColor="text2"/>
          <w:left w:val="single" w:sz="4" w:space="0" w:color="005288" w:themeColor="text2"/>
          <w:bottom w:val="single" w:sz="4" w:space="0" w:color="005288" w:themeColor="text2"/>
          <w:right w:val="single" w:sz="4" w:space="0" w:color="005288" w:themeColor="text2"/>
          <w:insideH w:val="single" w:sz="4" w:space="0" w:color="005288" w:themeColor="text2"/>
          <w:insideV w:val="single" w:sz="4" w:space="0" w:color="005288" w:themeColor="text2"/>
        </w:tcBorders>
        <w:shd w:val="clear" w:color="auto" w:fill="005288" w:themeFill="text2"/>
      </w:tcPr>
    </w:tblStylePr>
  </w:style>
  <w:style w:type="paragraph" w:customStyle="1" w:styleId="LAQHeading5">
    <w:name w:val="LAQ Heading 5"/>
    <w:basedOn w:val="Normal"/>
    <w:next w:val="Normal"/>
    <w:uiPriority w:val="2"/>
    <w:qFormat/>
    <w:rsid w:val="00BF5181"/>
    <w:rPr>
      <w:i/>
      <w:color w:val="005288" w:themeColor="text2"/>
    </w:rPr>
  </w:style>
  <w:style w:type="paragraph" w:customStyle="1" w:styleId="TitleBlue">
    <w:name w:val="Title Blue"/>
    <w:basedOn w:val="Heading1"/>
    <w:uiPriority w:val="2"/>
    <w:qFormat/>
    <w:rsid w:val="00F06470"/>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28009">
      <w:bodyDiv w:val="1"/>
      <w:marLeft w:val="0"/>
      <w:marRight w:val="0"/>
      <w:marTop w:val="0"/>
      <w:marBottom w:val="0"/>
      <w:divBdr>
        <w:top w:val="none" w:sz="0" w:space="0" w:color="auto"/>
        <w:left w:val="none" w:sz="0" w:space="0" w:color="auto"/>
        <w:bottom w:val="none" w:sz="0" w:space="0" w:color="auto"/>
        <w:right w:val="none" w:sz="0" w:space="0" w:color="auto"/>
      </w:divBdr>
      <w:divsChild>
        <w:div w:id="1950504269">
          <w:marLeft w:val="0"/>
          <w:marRight w:val="0"/>
          <w:marTop w:val="0"/>
          <w:marBottom w:val="0"/>
          <w:divBdr>
            <w:top w:val="none" w:sz="0" w:space="0" w:color="auto"/>
            <w:left w:val="none" w:sz="0" w:space="0" w:color="auto"/>
            <w:bottom w:val="none" w:sz="0" w:space="0" w:color="auto"/>
            <w:right w:val="none" w:sz="0" w:space="0" w:color="auto"/>
          </w:divBdr>
          <w:divsChild>
            <w:div w:id="341200327">
              <w:marLeft w:val="0"/>
              <w:marRight w:val="0"/>
              <w:marTop w:val="0"/>
              <w:marBottom w:val="0"/>
              <w:divBdr>
                <w:top w:val="none" w:sz="0" w:space="0" w:color="auto"/>
                <w:left w:val="none" w:sz="0" w:space="0" w:color="auto"/>
                <w:bottom w:val="none" w:sz="0" w:space="0" w:color="auto"/>
                <w:right w:val="none" w:sz="0" w:space="0" w:color="auto"/>
              </w:divBdr>
              <w:divsChild>
                <w:div w:id="1669289457">
                  <w:marLeft w:val="0"/>
                  <w:marRight w:val="0"/>
                  <w:marTop w:val="0"/>
                  <w:marBottom w:val="0"/>
                  <w:divBdr>
                    <w:top w:val="none" w:sz="0" w:space="0" w:color="auto"/>
                    <w:left w:val="none" w:sz="0" w:space="0" w:color="auto"/>
                    <w:bottom w:val="none" w:sz="0" w:space="0" w:color="auto"/>
                    <w:right w:val="none" w:sz="0" w:space="0" w:color="auto"/>
                  </w:divBdr>
                  <w:divsChild>
                    <w:div w:id="943421801">
                      <w:marLeft w:val="0"/>
                      <w:marRight w:val="0"/>
                      <w:marTop w:val="0"/>
                      <w:marBottom w:val="0"/>
                      <w:divBdr>
                        <w:top w:val="none" w:sz="0" w:space="0" w:color="auto"/>
                        <w:left w:val="none" w:sz="0" w:space="0" w:color="auto"/>
                        <w:bottom w:val="none" w:sz="0" w:space="0" w:color="auto"/>
                        <w:right w:val="none" w:sz="0" w:space="0" w:color="auto"/>
                      </w:divBdr>
                      <w:divsChild>
                        <w:div w:id="1390955427">
                          <w:marLeft w:val="0"/>
                          <w:marRight w:val="0"/>
                          <w:marTop w:val="0"/>
                          <w:marBottom w:val="0"/>
                          <w:divBdr>
                            <w:top w:val="none" w:sz="0" w:space="0" w:color="auto"/>
                            <w:left w:val="none" w:sz="0" w:space="0" w:color="auto"/>
                            <w:bottom w:val="none" w:sz="0" w:space="0" w:color="auto"/>
                            <w:right w:val="none" w:sz="0" w:space="0" w:color="auto"/>
                          </w:divBdr>
                          <w:divsChild>
                            <w:div w:id="749624542">
                              <w:marLeft w:val="0"/>
                              <w:marRight w:val="0"/>
                              <w:marTop w:val="0"/>
                              <w:marBottom w:val="0"/>
                              <w:divBdr>
                                <w:top w:val="none" w:sz="0" w:space="0" w:color="auto"/>
                                <w:left w:val="none" w:sz="0" w:space="0" w:color="auto"/>
                                <w:bottom w:val="none" w:sz="0" w:space="0" w:color="auto"/>
                                <w:right w:val="none" w:sz="0" w:space="0" w:color="auto"/>
                              </w:divBdr>
                              <w:divsChild>
                                <w:div w:id="1292636886">
                                  <w:marLeft w:val="150"/>
                                  <w:marRight w:val="150"/>
                                  <w:marTop w:val="0"/>
                                  <w:marBottom w:val="150"/>
                                  <w:divBdr>
                                    <w:top w:val="none" w:sz="0" w:space="0" w:color="auto"/>
                                    <w:left w:val="none" w:sz="0" w:space="0" w:color="auto"/>
                                    <w:bottom w:val="none" w:sz="0" w:space="0" w:color="auto"/>
                                    <w:right w:val="none" w:sz="0" w:space="0" w:color="auto"/>
                                  </w:divBdr>
                                  <w:divsChild>
                                    <w:div w:id="20856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Q">
  <a:themeElements>
    <a:clrScheme name="Custom 3">
      <a:dk1>
        <a:srgbClr val="3C3C3B"/>
      </a:dk1>
      <a:lt1>
        <a:sysClr val="window" lastClr="FFFFFF"/>
      </a:lt1>
      <a:dk2>
        <a:srgbClr val="005288"/>
      </a:dk2>
      <a:lt2>
        <a:srgbClr val="EEECE1"/>
      </a:lt2>
      <a:accent1>
        <a:srgbClr val="45C3D3"/>
      </a:accent1>
      <a:accent2>
        <a:srgbClr val="AADEE7"/>
      </a:accent2>
      <a:accent3>
        <a:srgbClr val="DBF0F5"/>
      </a:accent3>
      <a:accent4>
        <a:srgbClr val="6A92BB"/>
      </a:accent4>
      <a:accent5>
        <a:srgbClr val="BBCBE1"/>
      </a:accent5>
      <a:accent6>
        <a:srgbClr val="9A4D9E"/>
      </a:accent6>
      <a:hlink>
        <a:srgbClr val="005288"/>
      </a:hlink>
      <a:folHlink>
        <a:srgbClr val="45C3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DBFF-D09F-45A3-AE38-D626EC92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Legal Aid Queensland</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O'Brien</dc:creator>
  <cp:lastModifiedBy>Lauren McNamara</cp:lastModifiedBy>
  <cp:revision>3</cp:revision>
  <dcterms:created xsi:type="dcterms:W3CDTF">2022-11-15T05:24:00Z</dcterms:created>
  <dcterms:modified xsi:type="dcterms:W3CDTF">2022-11-15T05:24:00Z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Reference">
    <vt:lpwstr>TRIM no 2014/653104</vt:lpwstr>
  </property>
</Properties>
</file>